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316439</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b/>
          <w:color w:val="auto"/>
          <w:sz w:val="24"/>
          <w:lang w:val="en-US" w:eastAsia="zh-CN"/>
        </w:rPr>
        <w:t>Xiamen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China,</w:t>
      </w:r>
      <w:r>
        <w:rPr>
          <w:rFonts w:ascii="Arial" w:hAnsi="Arial" w:eastAsia="宋体"/>
          <w:b/>
          <w:color w:val="auto"/>
          <w:sz w:val="24"/>
          <w:lang w:eastAsia="zh-CN"/>
        </w:rPr>
        <w:t xml:space="preserve"> </w:t>
      </w:r>
      <w:r>
        <w:rPr>
          <w:rFonts w:hint="eastAsia" w:ascii="Arial" w:hAnsi="Arial" w:eastAsia="宋体"/>
          <w:b/>
          <w:color w:val="auto"/>
          <w:sz w:val="24"/>
          <w:lang w:val="en-US" w:eastAsia="zh-CN"/>
        </w:rPr>
        <w:t>9</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13</w:t>
      </w:r>
      <w:r>
        <w:rPr>
          <w:rFonts w:ascii="Arial" w:hAnsi="Arial" w:cs="Arial"/>
          <w:b/>
          <w:bCs/>
          <w:sz w:val="24"/>
          <w:szCs w:val="24"/>
        </w:rPr>
        <w:t xml:space="preserve"> </w:t>
      </w:r>
      <w:r>
        <w:rPr>
          <w:rFonts w:hint="eastAsia" w:ascii="Arial" w:hAnsi="Arial" w:eastAsia="宋体" w:cs="Arial"/>
          <w:b/>
          <w:bCs/>
          <w:sz w:val="24"/>
          <w:szCs w:val="24"/>
          <w:lang w:val="en-US" w:eastAsia="zh-CN"/>
        </w:rPr>
        <w:t>Oct</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the performance requirements for air-to-ground network</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5.13.6</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During previous meetings, wide discussion around the core part requirements of ATG have been discussed and good progress were held. According to the work plan[1], RAN4 is supposed to start the discussion of performance part of the WI. In this document, we provide some of our views on the performance part for ATG.</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bidi w:val="0"/>
        <w:rPr>
          <w:rFonts w:hint="default"/>
          <w:sz w:val="28"/>
          <w:szCs w:val="28"/>
          <w:lang w:val="en-US" w:eastAsia="zh-CN"/>
        </w:rPr>
      </w:pPr>
      <w:r>
        <w:rPr>
          <w:rFonts w:hint="eastAsia"/>
          <w:sz w:val="28"/>
          <w:szCs w:val="28"/>
          <w:lang w:val="en-US" w:eastAsia="zh-CN"/>
        </w:rPr>
        <w:t>2.1 Test configuration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During the discussion of the core part, some aspects related with the test configuration were touched, including the applicable band, duplex mode, SCS and TDD pattern. All these should be identified as the test configuration, we list all the candidates for each aspects as below:</w:t>
      </w:r>
    </w:p>
    <w:p>
      <w:pPr>
        <w:pStyle w:val="4"/>
        <w:numPr>
          <w:ilvl w:val="0"/>
          <w:numId w:val="4"/>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Applicable band</w:t>
      </w:r>
    </w:p>
    <w:p>
      <w:pPr>
        <w:pStyle w:val="4"/>
        <w:numPr>
          <w:ilvl w:val="0"/>
          <w:numId w:val="0"/>
        </w:numPr>
        <w:ind w:leftChars="20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 xml:space="preserve">The bands allowed for ATG deployment are listed in Table 2-1. </w:t>
      </w:r>
    </w:p>
    <w:p>
      <w:pPr>
        <w:pStyle w:val="51"/>
        <w:keepLines w:val="0"/>
        <w:widowControl w:val="0"/>
        <w:spacing w:before="120" w:after="120"/>
        <w:ind w:left="0" w:firstLine="0"/>
        <w:jc w:val="center"/>
        <w:rPr>
          <w:rFonts w:hint="default"/>
          <w:lang w:val="en-US" w:eastAsia="zh-CN"/>
        </w:rPr>
      </w:pPr>
      <w:r>
        <w:rPr>
          <w:rFonts w:hint="eastAsia"/>
          <w:lang w:val="en-US" w:eastAsia="zh-CN"/>
        </w:rPr>
        <w:t>Table 2-1 NR operating bands related to ATG in FR1</w:t>
      </w:r>
    </w:p>
    <w:tbl>
      <w:tblPr>
        <w:tblStyle w:val="16"/>
        <w:tblW w:w="0" w:type="auto"/>
        <w:jc w:val="center"/>
        <w:tblLayout w:type="autofit"/>
        <w:tblCellMar>
          <w:top w:w="0" w:type="dxa"/>
          <w:left w:w="108" w:type="dxa"/>
          <w:bottom w:w="0" w:type="dxa"/>
          <w:right w:w="108" w:type="dxa"/>
        </w:tblCellMar>
      </w:tblPr>
      <w:tblGrid>
        <w:gridCol w:w="1161"/>
        <w:gridCol w:w="2715"/>
        <w:gridCol w:w="2953"/>
        <w:gridCol w:w="908"/>
      </w:tblGrid>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widowControl w:val="0"/>
              <w:spacing w:after="0"/>
              <w:jc w:val="center"/>
              <w:rPr>
                <w:rFonts w:eastAsia="MS Mincho"/>
                <w:b/>
                <w:sz w:val="18"/>
              </w:rPr>
            </w:pPr>
            <w:r>
              <w:rPr>
                <w:rFonts w:eastAsia="MS Mincho"/>
                <w:b/>
                <w:sz w:val="18"/>
              </w:rPr>
              <w:t>NR operating band</w:t>
            </w:r>
          </w:p>
        </w:tc>
        <w:tc>
          <w:tcPr>
            <w:tcW w:w="2715" w:type="dxa"/>
            <w:tcBorders>
              <w:top w:val="single" w:color="auto" w:sz="4" w:space="0"/>
              <w:left w:val="single" w:color="auto" w:sz="4" w:space="0"/>
              <w:bottom w:val="single" w:color="auto" w:sz="4" w:space="0"/>
              <w:right w:val="single" w:color="auto" w:sz="4" w:space="0"/>
            </w:tcBorders>
          </w:tcPr>
          <w:p>
            <w:pPr>
              <w:widowControl w:val="0"/>
              <w:spacing w:after="0"/>
              <w:jc w:val="center"/>
              <w:rPr>
                <w:rFonts w:eastAsia="MS Mincho"/>
                <w:b/>
                <w:sz w:val="18"/>
              </w:rPr>
            </w:pPr>
            <w:r>
              <w:rPr>
                <w:rFonts w:eastAsia="MS Mincho"/>
                <w:b/>
                <w:sz w:val="18"/>
              </w:rPr>
              <w:t xml:space="preserve">Uplink (UL) </w:t>
            </w:r>
            <w:r>
              <w:rPr>
                <w:rFonts w:eastAsia="MS Mincho"/>
                <w:b/>
                <w:i/>
                <w:sz w:val="18"/>
              </w:rPr>
              <w:t>operating band</w:t>
            </w:r>
            <w:r>
              <w:rPr>
                <w:rFonts w:eastAsia="MS Mincho"/>
                <w:b/>
                <w:sz w:val="18"/>
              </w:rPr>
              <w:br w:type="textWrapping"/>
            </w:r>
            <w:r>
              <w:rPr>
                <w:rFonts w:eastAsia="MS Mincho"/>
                <w:b/>
                <w:sz w:val="18"/>
              </w:rPr>
              <w:t>BS receive / UE transmit</w:t>
            </w:r>
          </w:p>
          <w:p>
            <w:pPr>
              <w:widowControl w:val="0"/>
              <w:spacing w:after="0"/>
              <w:jc w:val="center"/>
              <w:rPr>
                <w:rFonts w:eastAsia="MS Mincho"/>
                <w:b/>
                <w:sz w:val="18"/>
                <w:vertAlign w:val="subscript"/>
              </w:rPr>
            </w:pPr>
            <w:r>
              <w:rPr>
                <w:rFonts w:eastAsia="MS Mincho"/>
                <w:b/>
                <w:sz w:val="18"/>
              </w:rPr>
              <w:t>F</w:t>
            </w:r>
            <w:r>
              <w:rPr>
                <w:rFonts w:eastAsia="MS Mincho"/>
                <w:b/>
                <w:sz w:val="18"/>
                <w:vertAlign w:val="subscript"/>
              </w:rPr>
              <w:t xml:space="preserve">UL_low </w:t>
            </w:r>
            <w:r>
              <w:rPr>
                <w:rFonts w:eastAsia="MS Mincho"/>
                <w:b/>
                <w:sz w:val="18"/>
              </w:rPr>
              <w:t xml:space="preserve">  –  F</w:t>
            </w:r>
            <w:r>
              <w:rPr>
                <w:rFonts w:eastAsia="MS Mincho"/>
                <w:b/>
                <w:sz w:val="18"/>
                <w:vertAlign w:val="subscript"/>
              </w:rPr>
              <w:t>UL_high</w:t>
            </w:r>
          </w:p>
        </w:tc>
        <w:tc>
          <w:tcPr>
            <w:tcW w:w="2953" w:type="dxa"/>
            <w:tcBorders>
              <w:top w:val="single" w:color="auto" w:sz="4" w:space="0"/>
              <w:left w:val="single" w:color="auto" w:sz="4" w:space="0"/>
              <w:bottom w:val="single" w:color="auto" w:sz="4" w:space="0"/>
              <w:right w:val="single" w:color="auto" w:sz="4" w:space="0"/>
            </w:tcBorders>
          </w:tcPr>
          <w:p>
            <w:pPr>
              <w:widowControl w:val="0"/>
              <w:spacing w:after="0"/>
              <w:jc w:val="center"/>
              <w:rPr>
                <w:rFonts w:eastAsia="MS Mincho"/>
                <w:b/>
                <w:sz w:val="18"/>
              </w:rPr>
            </w:pPr>
            <w:r>
              <w:rPr>
                <w:rFonts w:eastAsia="MS Mincho"/>
                <w:b/>
                <w:sz w:val="18"/>
              </w:rPr>
              <w:t xml:space="preserve">Downlink (DL) </w:t>
            </w:r>
            <w:r>
              <w:rPr>
                <w:rFonts w:eastAsia="MS Mincho"/>
                <w:b/>
                <w:i/>
                <w:sz w:val="18"/>
              </w:rPr>
              <w:t>operating band</w:t>
            </w:r>
            <w:r>
              <w:rPr>
                <w:rFonts w:eastAsia="MS Mincho"/>
                <w:b/>
                <w:sz w:val="18"/>
              </w:rPr>
              <w:br w:type="textWrapping"/>
            </w:r>
            <w:r>
              <w:rPr>
                <w:rFonts w:eastAsia="MS Mincho"/>
                <w:b/>
                <w:sz w:val="18"/>
              </w:rPr>
              <w:t>BS transmit / UE receive</w:t>
            </w:r>
          </w:p>
          <w:p>
            <w:pPr>
              <w:widowControl w:val="0"/>
              <w:spacing w:after="0"/>
              <w:jc w:val="center"/>
              <w:rPr>
                <w:rFonts w:eastAsia="MS Mincho"/>
                <w:b/>
                <w:sz w:val="18"/>
              </w:rPr>
            </w:pPr>
            <w:r>
              <w:rPr>
                <w:rFonts w:eastAsia="MS Mincho"/>
                <w:b/>
                <w:sz w:val="18"/>
              </w:rPr>
              <w:t>F</w:t>
            </w:r>
            <w:r>
              <w:rPr>
                <w:rFonts w:eastAsia="MS Mincho"/>
                <w:b/>
                <w:sz w:val="18"/>
                <w:vertAlign w:val="subscript"/>
              </w:rPr>
              <w:t>DL_low</w:t>
            </w:r>
            <w:r>
              <w:rPr>
                <w:rFonts w:eastAsia="MS Mincho"/>
                <w:b/>
                <w:sz w:val="18"/>
              </w:rPr>
              <w:t xml:space="preserve">   –  F</w:t>
            </w:r>
            <w:r>
              <w:rPr>
                <w:rFonts w:eastAsia="MS Mincho"/>
                <w:b/>
                <w:sz w:val="18"/>
                <w:vertAlign w:val="subscript"/>
              </w:rPr>
              <w:t>DL_high</w:t>
            </w:r>
          </w:p>
        </w:tc>
        <w:tc>
          <w:tcPr>
            <w:tcW w:w="908" w:type="dxa"/>
            <w:tcBorders>
              <w:top w:val="single" w:color="auto" w:sz="4" w:space="0"/>
              <w:left w:val="single" w:color="auto" w:sz="4" w:space="0"/>
              <w:bottom w:val="nil"/>
              <w:right w:val="single" w:color="auto" w:sz="4" w:space="0"/>
            </w:tcBorders>
          </w:tcPr>
          <w:p>
            <w:pPr>
              <w:widowControl w:val="0"/>
              <w:spacing w:after="0"/>
              <w:jc w:val="center"/>
              <w:rPr>
                <w:rFonts w:eastAsia="MS Mincho"/>
                <w:b/>
                <w:sz w:val="18"/>
              </w:rPr>
            </w:pPr>
            <w:r>
              <w:rPr>
                <w:rFonts w:eastAsia="MS Mincho"/>
                <w:b/>
                <w:sz w:val="18"/>
              </w:rPr>
              <w:t>Duplex Mode</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n1</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1920 MHz – 1980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2110 MHz – 2170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n3</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1710 MHz – 1785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1805 MHz – 1880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n34</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2010 MHz – 2025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2010 MHz – 2025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n39</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1880 MHz – 1920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1880 MHz – 1920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n41</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2496 MHz – 2690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2496 MHz – 2690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n78</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3300 MHz – 3800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3300 MHz – 3800 MHz</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MS Mincho"/>
                <w:sz w:val="18"/>
              </w:rPr>
            </w:pPr>
            <w:r>
              <w:rPr>
                <w:rFonts w:eastAsia="MS Mincho"/>
                <w:sz w:val="18"/>
              </w:rPr>
              <w:t>n79</w:t>
            </w:r>
          </w:p>
        </w:tc>
        <w:tc>
          <w:tcPr>
            <w:tcW w:w="2715"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MS Mincho"/>
                <w:sz w:val="18"/>
              </w:rPr>
            </w:pPr>
            <w:r>
              <w:rPr>
                <w:rFonts w:eastAsia="MS Mincho"/>
                <w:sz w:val="18"/>
              </w:rPr>
              <w:t>4400 MHz – 5000 MHz</w:t>
            </w:r>
          </w:p>
        </w:tc>
        <w:tc>
          <w:tcPr>
            <w:tcW w:w="295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MS Mincho"/>
                <w:sz w:val="18"/>
              </w:rPr>
            </w:pPr>
            <w:r>
              <w:rPr>
                <w:rFonts w:eastAsia="MS Mincho"/>
                <w:sz w:val="18"/>
              </w:rPr>
              <w:t>4400 MHz – 5000 MHz</w:t>
            </w:r>
          </w:p>
        </w:tc>
        <w:tc>
          <w:tcPr>
            <w:tcW w:w="90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MS Mincho"/>
                <w:sz w:val="18"/>
              </w:rPr>
            </w:pPr>
            <w:r>
              <w:rPr>
                <w:rFonts w:eastAsia="MS Mincho"/>
                <w:sz w:val="18"/>
              </w:rPr>
              <w:t>TDD</w:t>
            </w:r>
          </w:p>
        </w:tc>
      </w:tr>
    </w:tbl>
    <w:p>
      <w:pPr>
        <w:pStyle w:val="4"/>
        <w:numPr>
          <w:ilvl w:val="0"/>
          <w:numId w:val="0"/>
        </w:numPr>
        <w:ind w:leftChars="20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It should be noted that the phase array antenna is assumed in 4GHz, i.e. the band of n79. Some additional enhancements focused on such phase array antenna were introduced in RRM session, so the band of n79 should be considered when verifying such requirements oriented to phase array antenna. Otherwise, the omni antenna is assumed for all other applicable bands, at least one of these bands to be considered in the test.</w:t>
      </w:r>
    </w:p>
    <w:p>
      <w:pPr>
        <w:pStyle w:val="4"/>
        <w:numPr>
          <w:ilvl w:val="0"/>
          <w:numId w:val="4"/>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Duplex</w:t>
      </w:r>
    </w:p>
    <w:p>
      <w:pPr>
        <w:pStyle w:val="4"/>
        <w:numPr>
          <w:ilvl w:val="0"/>
          <w:numId w:val="0"/>
        </w:numPr>
        <w:ind w:leftChars="20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Including FDD, TDD.</w:t>
      </w:r>
    </w:p>
    <w:p>
      <w:pPr>
        <w:pStyle w:val="4"/>
        <w:numPr>
          <w:ilvl w:val="0"/>
          <w:numId w:val="4"/>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SCS and bandwidth</w:t>
      </w:r>
    </w:p>
    <w:p>
      <w:pPr>
        <w:pStyle w:val="4"/>
        <w:numPr>
          <w:ilvl w:val="0"/>
          <w:numId w:val="0"/>
        </w:numPr>
        <w:ind w:leftChars="20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Including 15kHz, 30kHz and [60kHz].</w:t>
      </w:r>
    </w:p>
    <w:p>
      <w:pPr>
        <w:pStyle w:val="4"/>
        <w:numPr>
          <w:ilvl w:val="0"/>
          <w:numId w:val="0"/>
        </w:numPr>
        <w:ind w:leftChars="20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The SCS of 60kHz is not supported for partial RRM requirements, such as Te, so the application of 60kHz is limited. We can pay more attention on the verification under the assumption of 15kHz and 30kHz.</w:t>
      </w:r>
    </w:p>
    <w:p>
      <w:pPr>
        <w:pStyle w:val="4"/>
        <w:numPr>
          <w:ilvl w:val="0"/>
          <w:numId w:val="0"/>
        </w:numPr>
        <w:ind w:leftChars="20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No special clarification on ATG bandwidth is assumed, so reuse the regular bandwidth configuration is fine.</w:t>
      </w:r>
    </w:p>
    <w:p>
      <w:pPr>
        <w:pStyle w:val="4"/>
        <w:numPr>
          <w:ilvl w:val="0"/>
          <w:numId w:val="4"/>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TDD pattern</w:t>
      </w:r>
    </w:p>
    <w:p>
      <w:pPr>
        <w:pStyle w:val="4"/>
        <w:numPr>
          <w:ilvl w:val="0"/>
          <w:numId w:val="0"/>
        </w:numPr>
        <w:ind w:leftChars="20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 xml:space="preserve">Depending on NW implementation, however since the large cell coverage in ATG, an exact TDD pattern of </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30D4S6U</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 xml:space="preserve"> is suggested by some company. Which is different from the normally used TDD configruation in existing test case. Therefore such new TDD pattern should be considered as a new candidate for ATG.</w:t>
      </w:r>
    </w:p>
    <w:p>
      <w:pPr>
        <w:pStyle w:val="4"/>
        <w:numPr>
          <w:ilvl w:val="0"/>
          <w:numId w:val="0"/>
        </w:numPr>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In summary, regarding the general test configuration, we have the following proposal:</w:t>
      </w:r>
    </w:p>
    <w:p>
      <w:pPr>
        <w:pStyle w:val="4"/>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The general configuration of the test are suggestted:</w:t>
      </w:r>
    </w:p>
    <w:p>
      <w:pPr>
        <w:pStyle w:val="4"/>
        <w:numPr>
          <w:ilvl w:val="0"/>
          <w:numId w:val="4"/>
        </w:numPr>
        <w:ind w:left="420" w:leftChars="0" w:hanging="420" w:firstLineChars="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Testing band: </w:t>
      </w:r>
    </w:p>
    <w:p>
      <w:pPr>
        <w:pStyle w:val="4"/>
        <w:numPr>
          <w:ilvl w:val="0"/>
          <w:numId w:val="5"/>
        </w:numPr>
        <w:ind w:left="840" w:leftChars="0" w:hanging="420" w:firstLineChars="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Band n79 should be configured for the sake of phase array antenna relevant enhancements testing;</w:t>
      </w:r>
    </w:p>
    <w:p>
      <w:pPr>
        <w:pStyle w:val="4"/>
        <w:numPr>
          <w:ilvl w:val="0"/>
          <w:numId w:val="5"/>
        </w:numPr>
        <w:ind w:left="840" w:leftChars="0" w:hanging="420" w:firstLineChars="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At least one band within {n1, n3, n34, n39, n41, n78} is considered to test other ATG enhancement besides the phase array antenna relevant enhancements testing;</w:t>
      </w:r>
    </w:p>
    <w:p>
      <w:pPr>
        <w:pStyle w:val="4"/>
        <w:numPr>
          <w:ilvl w:val="0"/>
          <w:numId w:val="4"/>
        </w:numPr>
        <w:ind w:left="420" w:leftChars="0" w:hanging="420" w:firstLineChars="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Duplex: </w:t>
      </w:r>
    </w:p>
    <w:p>
      <w:pPr>
        <w:pStyle w:val="4"/>
        <w:numPr>
          <w:ilvl w:val="0"/>
          <w:numId w:val="6"/>
        </w:numPr>
        <w:tabs>
          <w:tab w:val="clear" w:pos="420"/>
        </w:tabs>
        <w:ind w:left="840" w:leftChars="0" w:hanging="420" w:firstLineChars="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Similar as in legacy, both FDD and TDD should be configured.</w:t>
      </w:r>
    </w:p>
    <w:p>
      <w:pPr>
        <w:pStyle w:val="4"/>
        <w:numPr>
          <w:ilvl w:val="0"/>
          <w:numId w:val="4"/>
        </w:numPr>
        <w:ind w:left="420" w:leftChars="0" w:hanging="420" w:firstLineChars="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SCS: </w:t>
      </w:r>
    </w:p>
    <w:p>
      <w:pPr>
        <w:pStyle w:val="4"/>
        <w:numPr>
          <w:ilvl w:val="0"/>
          <w:numId w:val="6"/>
        </w:numPr>
        <w:tabs>
          <w:tab w:val="clear" w:pos="420"/>
        </w:tabs>
        <w:ind w:left="840" w:leftChars="0" w:hanging="420" w:firstLineChars="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Similar as in legacy, both 15kHz, 30kHz should be configured.</w:t>
      </w:r>
    </w:p>
    <w:p>
      <w:pPr>
        <w:pStyle w:val="4"/>
        <w:numPr>
          <w:ilvl w:val="0"/>
          <w:numId w:val="6"/>
        </w:numPr>
        <w:tabs>
          <w:tab w:val="clear" w:pos="420"/>
        </w:tabs>
        <w:ind w:left="840" w:leftChars="0" w:hanging="420" w:firstLineChars="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Not consider 60kHz since some RRM requirement is vacant for 60kHz.</w:t>
      </w:r>
    </w:p>
    <w:p>
      <w:pPr>
        <w:pStyle w:val="4"/>
        <w:numPr>
          <w:ilvl w:val="0"/>
          <w:numId w:val="4"/>
        </w:numPr>
        <w:ind w:left="420" w:leftChars="0" w:hanging="420" w:firstLineChars="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TDD pattern: </w:t>
      </w:r>
    </w:p>
    <w:p>
      <w:pPr>
        <w:pStyle w:val="4"/>
        <w:numPr>
          <w:ilvl w:val="0"/>
          <w:numId w:val="6"/>
        </w:numPr>
        <w:tabs>
          <w:tab w:val="clear" w:pos="420"/>
        </w:tabs>
        <w:ind w:left="840" w:leftChars="0" w:hanging="420" w:firstLineChars="0"/>
        <w:jc w:val="both"/>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 xml:space="preserve">TDD pattern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30D4S6U</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S=</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14GP</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should be prioritized in the test.</w:t>
      </w:r>
    </w:p>
    <w:p>
      <w:pPr>
        <w:pStyle w:val="3"/>
        <w:bidi w:val="0"/>
        <w:rPr>
          <w:rFonts w:hint="eastAsia"/>
          <w:sz w:val="28"/>
          <w:szCs w:val="28"/>
          <w:lang w:val="en-US" w:eastAsia="zh-CN"/>
        </w:rPr>
      </w:pPr>
      <w:r>
        <w:rPr>
          <w:rFonts w:hint="eastAsia"/>
          <w:sz w:val="28"/>
          <w:szCs w:val="28"/>
          <w:lang w:val="en-US" w:eastAsia="zh-CN"/>
        </w:rPr>
        <w:t>2.2 Measurement accuracy</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UE based frequency and timing compensation are allowed in ATG. Since the frequency compensation has no RRM impact, so we can ignore this when discussing the performance part for RRM. In terms of UE timing compensation, it has been agreed that for timing advance adjustment accuracy requirement, legacy value can be reused. So no new TA adjustment accuracy requirement introduced. Since the UE based frequency and timing compensation is determined by the UE based on the BS and UE location, the accuracy of BS location and UE location have been touched during the previous discussion. With respect to the UE location determination, the assumption of 40m for GNSS accuracy is agreed, and which has been captured into the Te as an additional margin(Te, GNSS_error = 8x64xTc). Regarding the accuracy of BS location, even though the BS accuracy actually exists for the sake of to aviod providing the true BS location provision, RAN4 decides to not specify the BS location accuracy in spec. </w:t>
      </w:r>
    </w:p>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Furthermore, it is also agreed that no specific requirement is developed for UE timer accuracy and cell phase synchronization accuracy, still reuse legacy TN accuracy.</w:t>
      </w:r>
    </w:p>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As a result, from the perspective of UE based frequency and timing compensation, no need to discuss any more in performance part.</w:t>
      </w:r>
    </w:p>
    <w:p>
      <w:pPr>
        <w:pStyle w:val="4"/>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2: Ignoring the frequency compensation when considering the measurement accuracy since no RRM impact. The accuracy of timing compensation consists of GNSS error and BS location error consideration, both have been addressed. No need to introduce additional measurement accuracy. </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In addition, the measurement requirement of L1 measurement is not enhanced by the scaling factor N even under the assumption of phase array antenna, while the price to guarantee the measurement performance is to perform beam steering based on the positioning capability. Considering such different assumption from legacy TN, furthermore, the interference environment for ATG is different from legacy TN. So to our understanding, the L1 measurement accuracy should be verified, including both absolute accuracy and relative accuracy. Regarding the exact accuracy requirement, it needs to discuss whether reuse the requirements defined in legacy TN or applying some enhancement through the performance evaluation for ATG. In an case, the L1 measurement accuracy should be identified.</w:t>
      </w:r>
    </w:p>
    <w:p>
      <w:pPr>
        <w:pStyle w:val="4"/>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The accuracy requirement of L1 measurement should be identified for ATG.</w:t>
      </w:r>
    </w:p>
    <w:p>
      <w:pPr>
        <w:pStyle w:val="4"/>
        <w:numPr>
          <w:ilvl w:val="0"/>
          <w:numId w:val="0"/>
        </w:numPr>
        <w:ind w:leftChars="0"/>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On the other hand, for L3 measurement, it should be discussed under two cases.</w:t>
      </w:r>
    </w:p>
    <w:p>
      <w:pPr>
        <w:pStyle w:val="4"/>
        <w:numPr>
          <w:ilvl w:val="0"/>
          <w:numId w:val="0"/>
        </w:numPr>
        <w:ind w:leftChars="0"/>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Under the assumption of non-phase array antenna, i.e. omni antenna, compared with legacy TN in FR1, not any enhancement applied. So directly reusing the accuracy requirement of legacy TN is fine. </w:t>
      </w:r>
    </w:p>
    <w:p>
      <w:pPr>
        <w:pStyle w:val="4"/>
        <w:numPr>
          <w:ilvl w:val="0"/>
          <w:numId w:val="0"/>
        </w:numPr>
        <w:ind w:leftChars="0"/>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While under the assumption of phase array antenna, two sub-cases are included: </w:t>
      </w:r>
    </w:p>
    <w:p>
      <w:pPr>
        <w:pStyle w:val="4"/>
        <w:numPr>
          <w:ilvl w:val="0"/>
          <w:numId w:val="7"/>
        </w:numPr>
        <w:ind w:left="840" w:leftChars="0" w:hanging="420" w:firstLineChars="0"/>
        <w:jc w:val="both"/>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The NW assistance of ATG cells reference locations is provided to UE</w:t>
      </w:r>
    </w:p>
    <w:p>
      <w:pPr>
        <w:pStyle w:val="4"/>
        <w:numPr>
          <w:ilvl w:val="0"/>
          <w:numId w:val="7"/>
        </w:numPr>
        <w:ind w:left="840" w:leftChars="0" w:hanging="420" w:firstLineChars="0"/>
        <w:jc w:val="both"/>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Otherwise</w:t>
      </w:r>
    </w:p>
    <w:p>
      <w:pPr>
        <w:pStyle w:val="4"/>
        <w:numPr>
          <w:ilvl w:val="0"/>
          <w:numId w:val="0"/>
        </w:numPr>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The additional scaling factor N is introduced for both the two sub-cases, just applying different values of N for each sub-case. This mechanism is similar as that in legacy FR2 TN, while the exact value of N is determined with the consideration of cell deployment in ATG. So the UE behavior under the two sub-cases is different from that in legacy FR1 TN and legacy FR2 TN. It is better to identify the L3 measurement accuracy for the case of phase array antenna.</w:t>
      </w:r>
    </w:p>
    <w:p>
      <w:pPr>
        <w:pStyle w:val="4"/>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The requirement of L3 measurement is divided into two cases: phase array antenna case and non-phase array antenna i.e. omni antenna case. For the former, reuse the requirement of legacy FR1 TN. For the latter, additional scaling factor N is introduced to address the beam issue during L3 measurement.</w:t>
      </w:r>
    </w:p>
    <w:p>
      <w:pPr>
        <w:pStyle w:val="4"/>
        <w:numPr>
          <w:ilvl w:val="0"/>
          <w:numId w:val="0"/>
        </w:numPr>
        <w:ind w:leftChars="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Regarding L3 measurement accuracy, reuse the accuracy requirement of legacy FR1 TN for the non-phase array antenna assumption; it is better to identify the accuracy requirement for the phase array antenna assumption.</w:t>
      </w:r>
    </w:p>
    <w:p>
      <w:pPr>
        <w:pStyle w:val="3"/>
        <w:bidi w:val="0"/>
        <w:rPr>
          <w:rFonts w:hint="default"/>
          <w:sz w:val="28"/>
          <w:szCs w:val="28"/>
          <w:lang w:val="en-US" w:eastAsia="zh-CN"/>
        </w:rPr>
      </w:pPr>
      <w:r>
        <w:rPr>
          <w:rFonts w:hint="eastAsia"/>
          <w:sz w:val="28"/>
          <w:szCs w:val="28"/>
          <w:lang w:val="en-US" w:eastAsia="zh-CN"/>
        </w:rPr>
        <w:t>2.3 Test cases</w:t>
      </w:r>
    </w:p>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Multiple core requirements were identified in the core part of ATG, including the cell re-selection under IDLE/INACTIVE mode, RRM requirements under CONNECTED mode, the time and frequency compensation and so on. To simplify the testing, a general principle suggested by us is to only define the test cases for those requirements that are different from the TN deployment or not involved in the TN deployment. For the requirements that are same as TN, no need to define new test cases since the performance can be verified in legacy test cases for TN. Regarding the requirements same as NTN, since the test case defined for NTN has been verified, so no need to define test case for ATG.</w:t>
      </w:r>
    </w:p>
    <w:p>
      <w:pPr>
        <w:pStyle w:val="4"/>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A general principle is to only define the test cases for those requirements that are different from the TN deployment or not involved in the TN deployment.</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We listed all test cases which needs to be verified in ATG according to the general principle.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3"/>
        <w:gridCol w:w="3064"/>
        <w:gridCol w:w="4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4"/>
              <w:rPr>
                <w:rFonts w:hint="default" w:eastAsia="宋体"/>
                <w:color w:val="auto"/>
                <w:sz w:val="20"/>
                <w:szCs w:val="20"/>
                <w:highlight w:val="none"/>
                <w:vertAlign w:val="baseline"/>
                <w:lang w:val="en-US" w:eastAsia="zh-CN"/>
              </w:rPr>
            </w:pPr>
            <w:r>
              <w:rPr>
                <w:rFonts w:hint="eastAsia" w:eastAsia="宋体"/>
                <w:color w:val="auto"/>
                <w:sz w:val="20"/>
                <w:szCs w:val="20"/>
                <w:highlight w:val="none"/>
                <w:vertAlign w:val="baseline"/>
                <w:lang w:val="en-US" w:eastAsia="zh-CN"/>
              </w:rPr>
              <w:t>TC index</w:t>
            </w:r>
          </w:p>
        </w:tc>
        <w:tc>
          <w:tcPr>
            <w:tcW w:w="3064" w:type="dxa"/>
          </w:tcPr>
          <w:p>
            <w:pPr>
              <w:pStyle w:val="4"/>
              <w:rPr>
                <w:rFonts w:hint="default" w:eastAsia="宋体"/>
                <w:color w:val="auto"/>
                <w:sz w:val="20"/>
                <w:szCs w:val="20"/>
                <w:highlight w:val="none"/>
                <w:vertAlign w:val="baseline"/>
                <w:lang w:val="en-US" w:eastAsia="zh-CN"/>
              </w:rPr>
            </w:pPr>
            <w:r>
              <w:rPr>
                <w:rFonts w:hint="eastAsia" w:eastAsia="宋体"/>
                <w:color w:val="auto"/>
                <w:sz w:val="20"/>
                <w:szCs w:val="20"/>
                <w:highlight w:val="none"/>
                <w:vertAlign w:val="baseline"/>
                <w:lang w:val="en-US" w:eastAsia="zh-CN"/>
              </w:rPr>
              <w:t>TC</w:t>
            </w:r>
          </w:p>
        </w:tc>
        <w:tc>
          <w:tcPr>
            <w:tcW w:w="4877" w:type="dxa"/>
          </w:tcPr>
          <w:p>
            <w:pPr>
              <w:pStyle w:val="4"/>
              <w:rPr>
                <w:rFonts w:hint="default" w:eastAsia="宋体"/>
                <w:color w:val="auto"/>
                <w:sz w:val="20"/>
                <w:szCs w:val="20"/>
                <w:highlight w:val="none"/>
                <w:vertAlign w:val="baseline"/>
                <w:lang w:val="en-US" w:eastAsia="zh-CN"/>
              </w:rPr>
            </w:pPr>
            <w:r>
              <w:rPr>
                <w:rFonts w:hint="eastAsia" w:eastAsia="宋体"/>
                <w:color w:val="auto"/>
                <w:sz w:val="20"/>
                <w:szCs w:val="20"/>
                <w:highlight w:val="none"/>
                <w:vertAlign w:val="baseline"/>
                <w:lang w:val="en-US" w:eastAsia="zh-CN"/>
              </w:rPr>
              <w:t>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4"/>
              <w:rPr>
                <w:rFonts w:hint="default" w:eastAsia="宋体"/>
                <w:color w:val="auto"/>
                <w:sz w:val="20"/>
                <w:szCs w:val="20"/>
                <w:highlight w:val="none"/>
                <w:vertAlign w:val="baseline"/>
                <w:lang w:val="en-US" w:eastAsia="zh-CN"/>
              </w:rPr>
            </w:pPr>
            <w:r>
              <w:rPr>
                <w:rFonts w:hint="eastAsia" w:eastAsia="宋体"/>
                <w:color w:val="auto"/>
                <w:sz w:val="20"/>
                <w:szCs w:val="20"/>
                <w:highlight w:val="none"/>
                <w:vertAlign w:val="baseline"/>
                <w:lang w:val="en-US" w:eastAsia="zh-CN"/>
              </w:rPr>
              <w:t>1</w:t>
            </w:r>
          </w:p>
        </w:tc>
        <w:tc>
          <w:tcPr>
            <w:tcW w:w="3064" w:type="dxa"/>
          </w:tcPr>
          <w:p>
            <w:pPr>
              <w:pStyle w:val="4"/>
              <w:rPr>
                <w:rFonts w:hint="default" w:eastAsia="宋体"/>
                <w:color w:val="auto"/>
                <w:sz w:val="20"/>
                <w:szCs w:val="20"/>
                <w:highlight w:val="none"/>
                <w:vertAlign w:val="baseline"/>
                <w:lang w:val="en-US" w:eastAsia="zh-CN"/>
              </w:rPr>
            </w:pPr>
            <w:r>
              <w:rPr>
                <w:rFonts w:hint="eastAsia" w:eastAsia="宋体"/>
                <w:color w:val="auto"/>
                <w:sz w:val="20"/>
                <w:szCs w:val="20"/>
                <w:highlight w:val="none"/>
                <w:vertAlign w:val="baseline"/>
                <w:lang w:val="en-US" w:eastAsia="zh-CN"/>
              </w:rPr>
              <w:t>ATG UE transmit timing</w:t>
            </w:r>
          </w:p>
        </w:tc>
        <w:tc>
          <w:tcPr>
            <w:tcW w:w="4877" w:type="dxa"/>
          </w:tcPr>
          <w:p>
            <w:pPr>
              <w:pStyle w:val="4"/>
              <w:rPr>
                <w:rFonts w:hint="default" w:eastAsia="宋体"/>
                <w:color w:val="auto"/>
                <w:sz w:val="20"/>
                <w:szCs w:val="20"/>
                <w:highlight w:val="none"/>
                <w:vertAlign w:val="baseline"/>
                <w:lang w:val="en-US" w:eastAsia="zh-CN"/>
              </w:rPr>
            </w:pPr>
            <w:r>
              <w:rPr>
                <w:rFonts w:hint="eastAsia" w:eastAsia="宋体"/>
                <w:color w:val="auto"/>
                <w:sz w:val="20"/>
                <w:szCs w:val="20"/>
                <w:highlight w:val="none"/>
                <w:vertAlign w:val="baseline"/>
                <w:lang w:val="en-US" w:eastAsia="zh-CN"/>
              </w:rPr>
              <w:t>To verify the UE initial transmit timing accuracy, maximum amount of timing change in one adjustment, minimum and maximum adjustment rate are within the specified limits.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4"/>
              <w:rPr>
                <w:rFonts w:hint="default" w:eastAsia="宋体"/>
                <w:color w:val="auto"/>
                <w:sz w:val="20"/>
                <w:szCs w:val="20"/>
                <w:highlight w:val="none"/>
                <w:vertAlign w:val="baseline"/>
                <w:lang w:val="en-US" w:eastAsia="zh-CN"/>
              </w:rPr>
            </w:pPr>
            <w:r>
              <w:rPr>
                <w:rFonts w:hint="eastAsia" w:eastAsia="宋体"/>
                <w:color w:val="auto"/>
                <w:sz w:val="20"/>
                <w:szCs w:val="20"/>
                <w:highlight w:val="none"/>
                <w:vertAlign w:val="baseline"/>
                <w:lang w:val="en-US" w:eastAsia="zh-CN"/>
              </w:rPr>
              <w:t>2</w:t>
            </w:r>
          </w:p>
        </w:tc>
        <w:tc>
          <w:tcPr>
            <w:tcW w:w="3064" w:type="dxa"/>
          </w:tcPr>
          <w:p>
            <w:pPr>
              <w:pStyle w:val="4"/>
              <w:rPr>
                <w:rFonts w:hint="default" w:eastAsia="宋体"/>
                <w:color w:val="auto"/>
                <w:sz w:val="20"/>
                <w:szCs w:val="20"/>
                <w:highlight w:val="none"/>
                <w:vertAlign w:val="baseline"/>
                <w:lang w:val="en-US" w:eastAsia="zh-CN"/>
              </w:rPr>
            </w:pPr>
            <w:r>
              <w:rPr>
                <w:rFonts w:hint="eastAsia" w:eastAsia="宋体"/>
                <w:color w:val="auto"/>
                <w:sz w:val="20"/>
                <w:szCs w:val="20"/>
                <w:highlight w:val="none"/>
                <w:vertAlign w:val="baseline"/>
                <w:lang w:val="en-US" w:eastAsia="zh-CN"/>
              </w:rPr>
              <w:t xml:space="preserve">ATG UE timing advance </w:t>
            </w:r>
          </w:p>
        </w:tc>
        <w:tc>
          <w:tcPr>
            <w:tcW w:w="4877" w:type="dxa"/>
          </w:tcPr>
          <w:p>
            <w:pPr>
              <w:pStyle w:val="4"/>
              <w:rPr>
                <w:rFonts w:hint="default" w:eastAsia="宋体"/>
                <w:color w:val="auto"/>
                <w:sz w:val="20"/>
                <w:szCs w:val="20"/>
                <w:highlight w:val="none"/>
                <w:vertAlign w:val="baseline"/>
                <w:lang w:val="en-US" w:eastAsia="zh-CN"/>
              </w:rPr>
            </w:pPr>
            <w:r>
              <w:rPr>
                <w:rFonts w:hint="eastAsia" w:eastAsia="宋体"/>
                <w:color w:val="auto"/>
                <w:sz w:val="20"/>
                <w:szCs w:val="20"/>
                <w:highlight w:val="none"/>
                <w:vertAlign w:val="baseline"/>
                <w:lang w:val="en-US" w:eastAsia="zh-CN"/>
              </w:rPr>
              <w:t>T</w:t>
            </w:r>
            <w:r>
              <w:rPr>
                <w:rFonts w:hint="default" w:eastAsia="宋体"/>
                <w:color w:val="auto"/>
                <w:sz w:val="20"/>
                <w:szCs w:val="20"/>
                <w:highlight w:val="none"/>
                <w:vertAlign w:val="baseline"/>
                <w:lang w:val="en-US" w:eastAsia="zh-CN"/>
              </w:rPr>
              <w:t xml:space="preserve">o verify </w:t>
            </w:r>
            <w:r>
              <w:rPr>
                <w:rFonts w:hint="eastAsia" w:eastAsia="宋体"/>
                <w:color w:val="auto"/>
                <w:sz w:val="20"/>
                <w:szCs w:val="20"/>
                <w:highlight w:val="none"/>
                <w:vertAlign w:val="baseline"/>
                <w:lang w:val="en-US" w:eastAsia="zh-CN"/>
              </w:rPr>
              <w:t xml:space="preserve">the </w:t>
            </w:r>
            <w:r>
              <w:rPr>
                <w:rFonts w:hint="default" w:eastAsia="宋体"/>
                <w:color w:val="auto"/>
                <w:sz w:val="20"/>
                <w:szCs w:val="20"/>
                <w:highlight w:val="none"/>
                <w:vertAlign w:val="baseline"/>
                <w:lang w:val="en-US" w:eastAsia="zh-CN"/>
              </w:rPr>
              <w:t>UE Timing Advance adjustment delay and accuracy requirement</w:t>
            </w:r>
            <w:r>
              <w:rPr>
                <w:rFonts w:hint="eastAsia" w:eastAsia="宋体"/>
                <w:color w:val="auto"/>
                <w:sz w:val="20"/>
                <w:szCs w:val="20"/>
                <w:highlight w:val="none"/>
                <w:vertAlign w:val="baseline"/>
                <w:lang w:val="en-US" w:eastAsia="zh-CN"/>
              </w:rPr>
              <w:t>, including the K</w:t>
            </w:r>
            <w:r>
              <w:rPr>
                <w:rFonts w:hint="eastAsia" w:eastAsia="宋体"/>
                <w:color w:val="auto"/>
                <w:sz w:val="15"/>
                <w:szCs w:val="15"/>
                <w:highlight w:val="none"/>
                <w:vertAlign w:val="baseline"/>
                <w:lang w:val="en-US" w:eastAsia="zh-CN"/>
              </w:rPr>
              <w:t>offset</w:t>
            </w:r>
            <w:r>
              <w:rPr>
                <w:rFonts w:hint="eastAsia" w:eastAsia="宋体"/>
                <w:color w:val="auto"/>
                <w:sz w:val="20"/>
                <w:szCs w:val="20"/>
                <w:highlight w:val="none"/>
                <w:vertAlign w:val="baseline"/>
                <w:lang w:val="en-US" w:eastAsia="zh-CN"/>
              </w:rPr>
              <w:t xml:space="preserve"> into the consideration.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4"/>
              <w:rPr>
                <w:rFonts w:hint="default" w:eastAsia="宋体"/>
                <w:color w:val="auto"/>
                <w:sz w:val="20"/>
                <w:szCs w:val="20"/>
                <w:highlight w:val="none"/>
                <w:vertAlign w:val="baseline"/>
                <w:lang w:val="en-US" w:eastAsia="zh-CN"/>
              </w:rPr>
            </w:pPr>
            <w:r>
              <w:rPr>
                <w:rFonts w:hint="eastAsia" w:eastAsia="宋体"/>
                <w:color w:val="auto"/>
                <w:sz w:val="20"/>
                <w:szCs w:val="20"/>
                <w:highlight w:val="none"/>
                <w:vertAlign w:val="baseline"/>
                <w:lang w:val="en-US" w:eastAsia="zh-CN"/>
              </w:rPr>
              <w:t>3</w:t>
            </w:r>
          </w:p>
        </w:tc>
        <w:tc>
          <w:tcPr>
            <w:tcW w:w="3064" w:type="dxa"/>
          </w:tcPr>
          <w:p>
            <w:pPr>
              <w:pStyle w:val="4"/>
              <w:rPr>
                <w:rFonts w:hint="default" w:eastAsia="宋体"/>
                <w:color w:val="auto"/>
                <w:sz w:val="20"/>
                <w:szCs w:val="20"/>
                <w:highlight w:val="none"/>
                <w:vertAlign w:val="baseline"/>
                <w:lang w:val="en-US" w:eastAsia="zh-CN"/>
              </w:rPr>
            </w:pPr>
            <w:r>
              <w:rPr>
                <w:rFonts w:hint="eastAsia" w:eastAsia="宋体"/>
                <w:color w:val="auto"/>
                <w:sz w:val="20"/>
                <w:szCs w:val="20"/>
                <w:highlight w:val="none"/>
                <w:vertAlign w:val="baseline"/>
                <w:lang w:val="en-US" w:eastAsia="zh-CN"/>
              </w:rPr>
              <w:t>Inter-frequency measurement for cell re-selection</w:t>
            </w:r>
          </w:p>
        </w:tc>
        <w:tc>
          <w:tcPr>
            <w:tcW w:w="4877" w:type="dxa"/>
          </w:tcPr>
          <w:p>
            <w:pPr>
              <w:pStyle w:val="4"/>
              <w:rPr>
                <w:rFonts w:hint="default" w:eastAsia="宋体"/>
                <w:color w:val="auto"/>
                <w:sz w:val="20"/>
                <w:szCs w:val="20"/>
                <w:highlight w:val="none"/>
                <w:vertAlign w:val="baseline"/>
                <w:lang w:val="en-US" w:eastAsia="zh-CN"/>
              </w:rPr>
            </w:pPr>
            <w:r>
              <w:rPr>
                <w:rFonts w:hint="eastAsia" w:eastAsia="宋体"/>
                <w:color w:val="auto"/>
                <w:sz w:val="20"/>
                <w:szCs w:val="20"/>
                <w:highlight w:val="none"/>
                <w:vertAlign w:val="baseline"/>
                <w:lang w:val="en-US" w:eastAsia="zh-CN"/>
              </w:rPr>
              <w:t>To verify whether the UE would perform set 1 or set 2 requirements based on the NW indicator. Furthermore, the Set 1 requirements is used by default if without any NW indicator.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4"/>
              <w:rPr>
                <w:rFonts w:hint="default" w:eastAsia="宋体"/>
                <w:color w:val="auto"/>
                <w:sz w:val="20"/>
                <w:szCs w:val="20"/>
                <w:highlight w:val="none"/>
                <w:vertAlign w:val="baseline"/>
                <w:lang w:val="en-US" w:eastAsia="zh-CN"/>
              </w:rPr>
            </w:pPr>
            <w:r>
              <w:rPr>
                <w:rFonts w:hint="eastAsia" w:eastAsia="宋体"/>
                <w:color w:val="auto"/>
                <w:sz w:val="20"/>
                <w:szCs w:val="20"/>
                <w:highlight w:val="none"/>
                <w:vertAlign w:val="baseline"/>
                <w:lang w:val="en-US" w:eastAsia="zh-CN"/>
              </w:rPr>
              <w:t>4</w:t>
            </w:r>
          </w:p>
        </w:tc>
        <w:tc>
          <w:tcPr>
            <w:tcW w:w="3064" w:type="dxa"/>
          </w:tcPr>
          <w:p>
            <w:pPr>
              <w:pStyle w:val="4"/>
              <w:rPr>
                <w:rFonts w:hint="default" w:eastAsia="宋体"/>
                <w:color w:val="auto"/>
                <w:sz w:val="20"/>
                <w:szCs w:val="20"/>
                <w:highlight w:val="none"/>
                <w:vertAlign w:val="baseline"/>
                <w:lang w:val="en-US" w:eastAsia="zh-CN"/>
              </w:rPr>
            </w:pPr>
            <w:r>
              <w:rPr>
                <w:rFonts w:hint="eastAsia" w:eastAsia="宋体"/>
                <w:color w:val="auto"/>
                <w:sz w:val="20"/>
                <w:szCs w:val="20"/>
                <w:highlight w:val="none"/>
                <w:vertAlign w:val="baseline"/>
                <w:lang w:val="en-US" w:eastAsia="zh-CN"/>
              </w:rPr>
              <w:t>Intra-frequency measurement for CONNECTED mode under phase antenna array assumption</w:t>
            </w:r>
          </w:p>
        </w:tc>
        <w:tc>
          <w:tcPr>
            <w:tcW w:w="4877" w:type="dxa"/>
          </w:tcPr>
          <w:p>
            <w:pPr>
              <w:pStyle w:val="4"/>
              <w:rPr>
                <w:rFonts w:hint="default" w:eastAsia="宋体"/>
                <w:color w:val="auto"/>
                <w:sz w:val="20"/>
                <w:szCs w:val="20"/>
                <w:highlight w:val="none"/>
                <w:vertAlign w:val="baseline"/>
                <w:lang w:val="en-US" w:eastAsia="zh-CN"/>
              </w:rPr>
            </w:pPr>
            <w:r>
              <w:rPr>
                <w:rFonts w:hint="eastAsia" w:eastAsia="宋体"/>
                <w:color w:val="auto"/>
                <w:sz w:val="20"/>
                <w:szCs w:val="20"/>
                <w:highlight w:val="none"/>
                <w:vertAlign w:val="baseline"/>
                <w:lang w:val="en-US" w:eastAsia="zh-CN"/>
              </w:rPr>
              <w:t>To verify whether the UE perform the intra-frequency measurement with the newly introduced scaling factor N. Both cases of with and without ATG cells location provision should be verified.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4"/>
              <w:rPr>
                <w:rFonts w:hint="default" w:eastAsia="宋体"/>
                <w:color w:val="auto"/>
                <w:sz w:val="20"/>
                <w:szCs w:val="20"/>
                <w:highlight w:val="none"/>
                <w:vertAlign w:val="baseline"/>
                <w:lang w:val="en-US" w:eastAsia="zh-CN"/>
              </w:rPr>
            </w:pPr>
            <w:r>
              <w:rPr>
                <w:rFonts w:hint="eastAsia" w:eastAsia="宋体"/>
                <w:color w:val="auto"/>
                <w:sz w:val="20"/>
                <w:szCs w:val="20"/>
                <w:highlight w:val="none"/>
                <w:vertAlign w:val="baseline"/>
                <w:lang w:val="en-US" w:eastAsia="zh-CN"/>
              </w:rPr>
              <w:t>5</w:t>
            </w:r>
          </w:p>
        </w:tc>
        <w:tc>
          <w:tcPr>
            <w:tcW w:w="3064" w:type="dxa"/>
          </w:tcPr>
          <w:p>
            <w:pPr>
              <w:pStyle w:val="4"/>
              <w:rPr>
                <w:rFonts w:hint="default" w:eastAsia="宋体"/>
                <w:color w:val="auto"/>
                <w:sz w:val="20"/>
                <w:szCs w:val="20"/>
                <w:highlight w:val="none"/>
                <w:vertAlign w:val="baseline"/>
                <w:lang w:val="en-US" w:eastAsia="zh-CN"/>
              </w:rPr>
            </w:pPr>
            <w:r>
              <w:rPr>
                <w:rFonts w:hint="eastAsia" w:eastAsia="宋体"/>
                <w:color w:val="auto"/>
                <w:sz w:val="20"/>
                <w:szCs w:val="20"/>
                <w:highlight w:val="none"/>
                <w:vertAlign w:val="baseline"/>
                <w:lang w:val="en-US" w:eastAsia="zh-CN"/>
              </w:rPr>
              <w:t>Inter-frequency measurement for CONNECTED mode under phase antenna array assumption</w:t>
            </w:r>
          </w:p>
        </w:tc>
        <w:tc>
          <w:tcPr>
            <w:tcW w:w="4877" w:type="dxa"/>
          </w:tcPr>
          <w:p>
            <w:pPr>
              <w:pStyle w:val="4"/>
              <w:rPr>
                <w:rFonts w:hint="default" w:eastAsia="宋体"/>
                <w:color w:val="auto"/>
                <w:sz w:val="20"/>
                <w:szCs w:val="20"/>
                <w:highlight w:val="none"/>
                <w:vertAlign w:val="baseline"/>
                <w:lang w:val="en-US" w:eastAsia="zh-CN"/>
              </w:rPr>
            </w:pPr>
            <w:r>
              <w:rPr>
                <w:rFonts w:hint="eastAsia" w:eastAsia="宋体"/>
                <w:color w:val="auto"/>
                <w:sz w:val="20"/>
                <w:szCs w:val="20"/>
                <w:highlight w:val="none"/>
                <w:vertAlign w:val="baseline"/>
                <w:lang w:val="en-US" w:eastAsia="zh-CN"/>
              </w:rPr>
              <w:t>To verify whether the UE perform the inter-frequency measurement with the newly introduced scaling factor N. Both cases of with and without ATG cells location provision should be verified.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4"/>
              <w:rPr>
                <w:rFonts w:hint="default" w:eastAsia="宋体"/>
                <w:color w:val="auto"/>
                <w:sz w:val="20"/>
                <w:szCs w:val="20"/>
                <w:highlight w:val="none"/>
                <w:vertAlign w:val="baseline"/>
                <w:lang w:val="en-US" w:eastAsia="zh-CN"/>
              </w:rPr>
            </w:pPr>
            <w:r>
              <w:rPr>
                <w:rFonts w:hint="eastAsia" w:eastAsia="宋体"/>
                <w:color w:val="auto"/>
                <w:sz w:val="20"/>
                <w:szCs w:val="20"/>
                <w:highlight w:val="none"/>
                <w:vertAlign w:val="baseline"/>
                <w:lang w:val="en-US" w:eastAsia="zh-CN"/>
              </w:rPr>
              <w:t>6</w:t>
            </w:r>
          </w:p>
        </w:tc>
        <w:tc>
          <w:tcPr>
            <w:tcW w:w="3064" w:type="dxa"/>
            <w:vAlign w:val="top"/>
          </w:tcPr>
          <w:p>
            <w:pPr>
              <w:pStyle w:val="4"/>
              <w:rPr>
                <w:rFonts w:hint="default" w:ascii="Times New Roman" w:hAnsi="Times New Roman" w:eastAsia="宋体" w:cs="Times New Roman"/>
                <w:color w:val="auto"/>
                <w:sz w:val="20"/>
                <w:szCs w:val="20"/>
                <w:highlight w:val="none"/>
                <w:vertAlign w:val="baseline"/>
                <w:lang w:val="en-US" w:eastAsia="zh-CN" w:bidi="ar-SA"/>
              </w:rPr>
            </w:pPr>
            <w:r>
              <w:rPr>
                <w:rFonts w:hint="eastAsia" w:eastAsia="宋体"/>
                <w:color w:val="auto"/>
                <w:sz w:val="20"/>
                <w:szCs w:val="20"/>
                <w:highlight w:val="none"/>
                <w:vertAlign w:val="baseline"/>
                <w:lang w:val="en-US" w:eastAsia="zh-CN"/>
              </w:rPr>
              <w:t>L1-RSRP measurement accuracy under phase antenna array  assumption</w:t>
            </w:r>
          </w:p>
        </w:tc>
        <w:tc>
          <w:tcPr>
            <w:tcW w:w="4877" w:type="dxa"/>
          </w:tcPr>
          <w:p>
            <w:pPr>
              <w:pStyle w:val="4"/>
              <w:rPr>
                <w:rFonts w:hint="default" w:eastAsia="宋体"/>
                <w:color w:val="auto"/>
                <w:sz w:val="20"/>
                <w:szCs w:val="20"/>
                <w:highlight w:val="none"/>
                <w:vertAlign w:val="baseline"/>
                <w:lang w:val="en-US" w:eastAsia="zh-CN"/>
              </w:rPr>
            </w:pPr>
            <w:r>
              <w:rPr>
                <w:rFonts w:hint="eastAsia" w:eastAsia="宋体"/>
                <w:color w:val="auto"/>
                <w:sz w:val="20"/>
                <w:szCs w:val="20"/>
                <w:highlight w:val="none"/>
                <w:vertAlign w:val="baseline"/>
                <w:lang w:val="en-US" w:eastAsia="zh-CN"/>
              </w:rPr>
              <w:t>T</w:t>
            </w:r>
            <w:r>
              <w:rPr>
                <w:rFonts w:hint="default" w:eastAsia="宋体"/>
                <w:color w:val="auto"/>
                <w:sz w:val="20"/>
                <w:szCs w:val="20"/>
                <w:highlight w:val="none"/>
                <w:vertAlign w:val="baseline"/>
                <w:lang w:val="en-US" w:eastAsia="zh-CN"/>
              </w:rPr>
              <w:t xml:space="preserve">o verify </w:t>
            </w:r>
            <w:r>
              <w:rPr>
                <w:rFonts w:hint="eastAsia" w:eastAsia="宋体"/>
                <w:color w:val="auto"/>
                <w:sz w:val="20"/>
                <w:szCs w:val="20"/>
                <w:highlight w:val="none"/>
                <w:vertAlign w:val="baseline"/>
                <w:lang w:val="en-US" w:eastAsia="zh-CN"/>
              </w:rPr>
              <w:t xml:space="preserve">whether </w:t>
            </w:r>
            <w:r>
              <w:rPr>
                <w:rFonts w:hint="default" w:eastAsia="宋体"/>
                <w:color w:val="auto"/>
                <w:sz w:val="20"/>
                <w:szCs w:val="20"/>
                <w:highlight w:val="none"/>
                <w:vertAlign w:val="baseline"/>
                <w:lang w:val="en-US" w:eastAsia="zh-CN"/>
              </w:rPr>
              <w:t xml:space="preserve">the </w:t>
            </w:r>
            <w:r>
              <w:rPr>
                <w:rFonts w:hint="eastAsia" w:eastAsia="宋体"/>
                <w:color w:val="auto"/>
                <w:sz w:val="20"/>
                <w:szCs w:val="20"/>
                <w:highlight w:val="none"/>
                <w:vertAlign w:val="baseline"/>
                <w:lang w:val="en-US" w:eastAsia="zh-CN"/>
              </w:rPr>
              <w:t>L1</w:t>
            </w:r>
            <w:r>
              <w:rPr>
                <w:rFonts w:hint="default" w:eastAsia="宋体"/>
                <w:color w:val="auto"/>
                <w:sz w:val="20"/>
                <w:szCs w:val="20"/>
                <w:highlight w:val="none"/>
                <w:vertAlign w:val="baseline"/>
                <w:lang w:val="en-US" w:eastAsia="zh-CN"/>
              </w:rPr>
              <w:t>-RSRP measurement accuracy is within the specified limits</w:t>
            </w:r>
            <w:r>
              <w:rPr>
                <w:rFonts w:hint="eastAsia" w:eastAsia="宋体"/>
                <w:color w:val="auto"/>
                <w:sz w:val="20"/>
                <w:szCs w:val="20"/>
                <w:highlight w:val="none"/>
                <w:vertAlign w:val="baseline"/>
                <w:lang w:val="en-US" w:eastAsia="zh-CN"/>
              </w:rPr>
              <w:t xml:space="preserve"> under the assumption of phase antenna array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4"/>
              <w:rPr>
                <w:rFonts w:hint="default" w:eastAsia="宋体"/>
                <w:color w:val="auto"/>
                <w:sz w:val="20"/>
                <w:szCs w:val="20"/>
                <w:highlight w:val="none"/>
                <w:vertAlign w:val="baseline"/>
                <w:lang w:val="en-US" w:eastAsia="zh-CN"/>
              </w:rPr>
            </w:pPr>
            <w:r>
              <w:rPr>
                <w:rFonts w:hint="eastAsia" w:eastAsia="宋体"/>
                <w:color w:val="auto"/>
                <w:sz w:val="20"/>
                <w:szCs w:val="20"/>
                <w:highlight w:val="none"/>
                <w:vertAlign w:val="baseline"/>
                <w:lang w:val="en-US" w:eastAsia="zh-CN"/>
              </w:rPr>
              <w:t>7</w:t>
            </w:r>
          </w:p>
        </w:tc>
        <w:tc>
          <w:tcPr>
            <w:tcW w:w="3064" w:type="dxa"/>
            <w:vAlign w:val="top"/>
          </w:tcPr>
          <w:p>
            <w:pPr>
              <w:pStyle w:val="4"/>
              <w:rPr>
                <w:rFonts w:hint="default" w:ascii="Times New Roman" w:hAnsi="Times New Roman" w:eastAsia="宋体" w:cs="Times New Roman"/>
                <w:color w:val="auto"/>
                <w:sz w:val="20"/>
                <w:szCs w:val="20"/>
                <w:highlight w:val="none"/>
                <w:vertAlign w:val="baseline"/>
                <w:lang w:val="en-US" w:eastAsia="zh-CN" w:bidi="ar-SA"/>
              </w:rPr>
            </w:pPr>
            <w:r>
              <w:rPr>
                <w:rFonts w:hint="eastAsia" w:eastAsia="宋体"/>
                <w:color w:val="auto"/>
                <w:sz w:val="20"/>
                <w:szCs w:val="20"/>
                <w:highlight w:val="none"/>
                <w:vertAlign w:val="baseline"/>
                <w:lang w:val="en-US" w:eastAsia="zh-CN"/>
              </w:rPr>
              <w:t>L1-SINR measurement accuracy under phase antenna array assumption</w:t>
            </w:r>
          </w:p>
        </w:tc>
        <w:tc>
          <w:tcPr>
            <w:tcW w:w="4877" w:type="dxa"/>
          </w:tcPr>
          <w:p>
            <w:pPr>
              <w:pStyle w:val="4"/>
              <w:rPr>
                <w:rFonts w:hint="eastAsia" w:eastAsia="宋体"/>
                <w:color w:val="auto"/>
                <w:sz w:val="20"/>
                <w:szCs w:val="20"/>
                <w:highlight w:val="none"/>
                <w:vertAlign w:val="baseline"/>
                <w:lang w:val="en-US" w:eastAsia="zh-CN"/>
              </w:rPr>
            </w:pPr>
            <w:r>
              <w:rPr>
                <w:rFonts w:hint="eastAsia" w:eastAsia="宋体"/>
                <w:color w:val="auto"/>
                <w:sz w:val="20"/>
                <w:szCs w:val="20"/>
                <w:highlight w:val="none"/>
                <w:vertAlign w:val="baseline"/>
                <w:lang w:val="en-US" w:eastAsia="zh-CN"/>
              </w:rPr>
              <w:t>T</w:t>
            </w:r>
            <w:r>
              <w:rPr>
                <w:rFonts w:hint="default" w:eastAsia="宋体"/>
                <w:color w:val="auto"/>
                <w:sz w:val="20"/>
                <w:szCs w:val="20"/>
                <w:highlight w:val="none"/>
                <w:vertAlign w:val="baseline"/>
                <w:lang w:val="en-US" w:eastAsia="zh-CN"/>
              </w:rPr>
              <w:t xml:space="preserve">o verify </w:t>
            </w:r>
            <w:r>
              <w:rPr>
                <w:rFonts w:hint="eastAsia" w:eastAsia="宋体"/>
                <w:color w:val="auto"/>
                <w:sz w:val="20"/>
                <w:szCs w:val="20"/>
                <w:highlight w:val="none"/>
                <w:vertAlign w:val="baseline"/>
                <w:lang w:val="en-US" w:eastAsia="zh-CN"/>
              </w:rPr>
              <w:t xml:space="preserve">whether </w:t>
            </w:r>
            <w:r>
              <w:rPr>
                <w:rFonts w:hint="default" w:eastAsia="宋体"/>
                <w:color w:val="auto"/>
                <w:sz w:val="20"/>
                <w:szCs w:val="20"/>
                <w:highlight w:val="none"/>
                <w:vertAlign w:val="baseline"/>
                <w:lang w:val="en-US" w:eastAsia="zh-CN"/>
              </w:rPr>
              <w:t xml:space="preserve">the </w:t>
            </w:r>
            <w:r>
              <w:rPr>
                <w:rFonts w:hint="eastAsia" w:eastAsia="宋体"/>
                <w:color w:val="auto"/>
                <w:sz w:val="20"/>
                <w:szCs w:val="20"/>
                <w:highlight w:val="none"/>
                <w:vertAlign w:val="baseline"/>
                <w:lang w:val="en-US" w:eastAsia="zh-CN"/>
              </w:rPr>
              <w:t>L1</w:t>
            </w:r>
            <w:r>
              <w:rPr>
                <w:rFonts w:hint="default" w:eastAsia="宋体"/>
                <w:color w:val="auto"/>
                <w:sz w:val="20"/>
                <w:szCs w:val="20"/>
                <w:highlight w:val="none"/>
                <w:vertAlign w:val="baseline"/>
                <w:lang w:val="en-US" w:eastAsia="zh-CN"/>
              </w:rPr>
              <w:t>-</w:t>
            </w:r>
            <w:r>
              <w:rPr>
                <w:rFonts w:hint="eastAsia" w:eastAsia="宋体"/>
                <w:color w:val="auto"/>
                <w:sz w:val="20"/>
                <w:szCs w:val="20"/>
                <w:highlight w:val="none"/>
                <w:vertAlign w:val="baseline"/>
                <w:lang w:val="en-US" w:eastAsia="zh-CN"/>
              </w:rPr>
              <w:t>SINR</w:t>
            </w:r>
            <w:r>
              <w:rPr>
                <w:rFonts w:hint="default" w:eastAsia="宋体"/>
                <w:color w:val="auto"/>
                <w:sz w:val="20"/>
                <w:szCs w:val="20"/>
                <w:highlight w:val="none"/>
                <w:vertAlign w:val="baseline"/>
                <w:lang w:val="en-US" w:eastAsia="zh-CN"/>
              </w:rPr>
              <w:t xml:space="preserve"> measurement accuracy is within the specified limits</w:t>
            </w:r>
            <w:r>
              <w:rPr>
                <w:rFonts w:hint="eastAsia" w:eastAsia="宋体"/>
                <w:color w:val="auto"/>
                <w:sz w:val="20"/>
                <w:szCs w:val="20"/>
                <w:highlight w:val="none"/>
                <w:vertAlign w:val="baseline"/>
                <w:lang w:val="en-US" w:eastAsia="zh-CN"/>
              </w:rPr>
              <w:t xml:space="preserve"> under the assumption of phase antenna array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4"/>
              <w:rPr>
                <w:rFonts w:hint="default" w:eastAsia="宋体"/>
                <w:color w:val="auto"/>
                <w:sz w:val="20"/>
                <w:szCs w:val="20"/>
                <w:highlight w:val="none"/>
                <w:vertAlign w:val="baseline"/>
                <w:lang w:val="en-US" w:eastAsia="zh-CN"/>
              </w:rPr>
            </w:pPr>
            <w:r>
              <w:rPr>
                <w:rFonts w:hint="eastAsia" w:eastAsia="宋体"/>
                <w:color w:val="auto"/>
                <w:sz w:val="20"/>
                <w:szCs w:val="20"/>
                <w:highlight w:val="none"/>
                <w:vertAlign w:val="baseline"/>
                <w:lang w:val="en-US" w:eastAsia="zh-CN"/>
              </w:rPr>
              <w:t>8</w:t>
            </w:r>
          </w:p>
        </w:tc>
        <w:tc>
          <w:tcPr>
            <w:tcW w:w="3064" w:type="dxa"/>
          </w:tcPr>
          <w:p>
            <w:pPr>
              <w:pStyle w:val="4"/>
              <w:rPr>
                <w:rFonts w:hint="default" w:eastAsia="宋体"/>
                <w:color w:val="auto"/>
                <w:sz w:val="20"/>
                <w:szCs w:val="20"/>
                <w:highlight w:val="none"/>
                <w:vertAlign w:val="baseline"/>
                <w:lang w:val="en-US" w:eastAsia="zh-CN"/>
              </w:rPr>
            </w:pPr>
            <w:r>
              <w:rPr>
                <w:rFonts w:hint="eastAsia" w:eastAsia="宋体"/>
                <w:color w:val="auto"/>
                <w:sz w:val="20"/>
                <w:szCs w:val="20"/>
                <w:highlight w:val="none"/>
                <w:vertAlign w:val="baseline"/>
                <w:lang w:val="en-US" w:eastAsia="zh-CN"/>
              </w:rPr>
              <w:t xml:space="preserve">Intra-frequency measurement accuracy for CONNECTED mode under phase antenna array assumption  </w:t>
            </w:r>
          </w:p>
        </w:tc>
        <w:tc>
          <w:tcPr>
            <w:tcW w:w="4877" w:type="dxa"/>
          </w:tcPr>
          <w:p>
            <w:pPr>
              <w:pStyle w:val="4"/>
              <w:rPr>
                <w:rFonts w:hint="default" w:eastAsia="宋体"/>
                <w:color w:val="auto"/>
                <w:sz w:val="20"/>
                <w:szCs w:val="20"/>
                <w:highlight w:val="none"/>
                <w:vertAlign w:val="baseline"/>
                <w:lang w:val="en-US" w:eastAsia="zh-CN"/>
              </w:rPr>
            </w:pPr>
            <w:r>
              <w:rPr>
                <w:rFonts w:hint="eastAsia" w:eastAsia="宋体"/>
                <w:color w:val="auto"/>
                <w:sz w:val="20"/>
                <w:szCs w:val="20"/>
                <w:highlight w:val="none"/>
                <w:vertAlign w:val="baseline"/>
                <w:lang w:val="en-US" w:eastAsia="zh-CN"/>
              </w:rPr>
              <w:t>T</w:t>
            </w:r>
            <w:r>
              <w:rPr>
                <w:rFonts w:hint="default" w:eastAsia="宋体"/>
                <w:color w:val="auto"/>
                <w:sz w:val="20"/>
                <w:szCs w:val="20"/>
                <w:highlight w:val="none"/>
                <w:vertAlign w:val="baseline"/>
                <w:lang w:val="en-US" w:eastAsia="zh-CN"/>
              </w:rPr>
              <w:t xml:space="preserve">o verify </w:t>
            </w:r>
            <w:r>
              <w:rPr>
                <w:rFonts w:hint="eastAsia" w:eastAsia="宋体"/>
                <w:color w:val="auto"/>
                <w:sz w:val="20"/>
                <w:szCs w:val="20"/>
                <w:highlight w:val="none"/>
                <w:vertAlign w:val="baseline"/>
                <w:lang w:val="en-US" w:eastAsia="zh-CN"/>
              </w:rPr>
              <w:t xml:space="preserve">whether </w:t>
            </w:r>
            <w:r>
              <w:rPr>
                <w:rFonts w:hint="default" w:eastAsia="宋体"/>
                <w:color w:val="auto"/>
                <w:sz w:val="20"/>
                <w:szCs w:val="20"/>
                <w:highlight w:val="none"/>
                <w:vertAlign w:val="baseline"/>
                <w:lang w:val="en-US" w:eastAsia="zh-CN"/>
              </w:rPr>
              <w:t xml:space="preserve">the </w:t>
            </w:r>
            <w:r>
              <w:rPr>
                <w:rFonts w:hint="eastAsia" w:eastAsia="宋体"/>
                <w:color w:val="auto"/>
                <w:sz w:val="20"/>
                <w:szCs w:val="20"/>
                <w:highlight w:val="none"/>
                <w:vertAlign w:val="baseline"/>
                <w:lang w:val="en-US" w:eastAsia="zh-CN"/>
              </w:rPr>
              <w:t>Intra-frequency</w:t>
            </w:r>
            <w:r>
              <w:rPr>
                <w:rFonts w:hint="default" w:eastAsia="宋体"/>
                <w:color w:val="auto"/>
                <w:sz w:val="20"/>
                <w:szCs w:val="20"/>
                <w:highlight w:val="none"/>
                <w:vertAlign w:val="baseline"/>
                <w:lang w:val="en-US" w:eastAsia="zh-CN"/>
              </w:rPr>
              <w:t xml:space="preserve"> measurement accuracy is within the specified limits</w:t>
            </w:r>
            <w:r>
              <w:rPr>
                <w:rFonts w:hint="eastAsia" w:eastAsia="宋体"/>
                <w:color w:val="auto"/>
                <w:sz w:val="20"/>
                <w:szCs w:val="20"/>
                <w:highlight w:val="none"/>
                <w:vertAlign w:val="baseline"/>
                <w:lang w:val="en-US" w:eastAsia="zh-CN"/>
              </w:rPr>
              <w:t xml:space="preserve"> under the assumption of phase antenna array. Both the cases with and without NW assistance on ATC cells reference location provision should be verified.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4"/>
              <w:rPr>
                <w:rFonts w:hint="default" w:eastAsia="宋体"/>
                <w:color w:val="auto"/>
                <w:sz w:val="20"/>
                <w:szCs w:val="20"/>
                <w:highlight w:val="none"/>
                <w:vertAlign w:val="baseline"/>
                <w:lang w:val="en-US" w:eastAsia="zh-CN"/>
              </w:rPr>
            </w:pPr>
            <w:r>
              <w:rPr>
                <w:rFonts w:hint="eastAsia" w:eastAsia="宋体"/>
                <w:color w:val="auto"/>
                <w:sz w:val="20"/>
                <w:szCs w:val="20"/>
                <w:highlight w:val="none"/>
                <w:vertAlign w:val="baseline"/>
                <w:lang w:val="en-US" w:eastAsia="zh-CN"/>
              </w:rPr>
              <w:t>9</w:t>
            </w:r>
          </w:p>
        </w:tc>
        <w:tc>
          <w:tcPr>
            <w:tcW w:w="3064" w:type="dxa"/>
          </w:tcPr>
          <w:p>
            <w:pPr>
              <w:pStyle w:val="4"/>
              <w:rPr>
                <w:rFonts w:hint="eastAsia" w:eastAsia="宋体"/>
                <w:color w:val="auto"/>
                <w:sz w:val="20"/>
                <w:szCs w:val="20"/>
                <w:highlight w:val="none"/>
                <w:vertAlign w:val="baseline"/>
                <w:lang w:val="en-US" w:eastAsia="zh-CN"/>
              </w:rPr>
            </w:pPr>
            <w:r>
              <w:rPr>
                <w:rFonts w:hint="eastAsia" w:eastAsia="宋体"/>
                <w:color w:val="auto"/>
                <w:sz w:val="20"/>
                <w:szCs w:val="20"/>
                <w:highlight w:val="none"/>
                <w:vertAlign w:val="baseline"/>
                <w:lang w:val="en-US" w:eastAsia="zh-CN"/>
              </w:rPr>
              <w:t xml:space="preserve">Inter-frequency measurement accuracy for CONNECTED mode under phase antenna array assumption  </w:t>
            </w:r>
          </w:p>
        </w:tc>
        <w:tc>
          <w:tcPr>
            <w:tcW w:w="4877" w:type="dxa"/>
          </w:tcPr>
          <w:p>
            <w:pPr>
              <w:pStyle w:val="4"/>
              <w:rPr>
                <w:rFonts w:hint="eastAsia" w:eastAsia="宋体"/>
                <w:color w:val="auto"/>
                <w:sz w:val="20"/>
                <w:szCs w:val="20"/>
                <w:highlight w:val="none"/>
                <w:vertAlign w:val="baseline"/>
                <w:lang w:val="en-US" w:eastAsia="zh-CN"/>
              </w:rPr>
            </w:pPr>
            <w:r>
              <w:rPr>
                <w:rFonts w:hint="eastAsia" w:eastAsia="宋体"/>
                <w:color w:val="auto"/>
                <w:sz w:val="20"/>
                <w:szCs w:val="20"/>
                <w:highlight w:val="none"/>
                <w:vertAlign w:val="baseline"/>
                <w:lang w:val="en-US" w:eastAsia="zh-CN"/>
              </w:rPr>
              <w:t>T</w:t>
            </w:r>
            <w:r>
              <w:rPr>
                <w:rFonts w:hint="default" w:eastAsia="宋体"/>
                <w:color w:val="auto"/>
                <w:sz w:val="20"/>
                <w:szCs w:val="20"/>
                <w:highlight w:val="none"/>
                <w:vertAlign w:val="baseline"/>
                <w:lang w:val="en-US" w:eastAsia="zh-CN"/>
              </w:rPr>
              <w:t xml:space="preserve">o verify </w:t>
            </w:r>
            <w:r>
              <w:rPr>
                <w:rFonts w:hint="eastAsia" w:eastAsia="宋体"/>
                <w:color w:val="auto"/>
                <w:sz w:val="20"/>
                <w:szCs w:val="20"/>
                <w:highlight w:val="none"/>
                <w:vertAlign w:val="baseline"/>
                <w:lang w:val="en-US" w:eastAsia="zh-CN"/>
              </w:rPr>
              <w:t xml:space="preserve">whether </w:t>
            </w:r>
            <w:r>
              <w:rPr>
                <w:rFonts w:hint="default" w:eastAsia="宋体"/>
                <w:color w:val="auto"/>
                <w:sz w:val="20"/>
                <w:szCs w:val="20"/>
                <w:highlight w:val="none"/>
                <w:vertAlign w:val="baseline"/>
                <w:lang w:val="en-US" w:eastAsia="zh-CN"/>
              </w:rPr>
              <w:t xml:space="preserve">the </w:t>
            </w:r>
            <w:r>
              <w:rPr>
                <w:rFonts w:hint="eastAsia" w:eastAsia="宋体"/>
                <w:color w:val="auto"/>
                <w:sz w:val="20"/>
                <w:szCs w:val="20"/>
                <w:highlight w:val="none"/>
                <w:vertAlign w:val="baseline"/>
                <w:lang w:val="en-US" w:eastAsia="zh-CN"/>
              </w:rPr>
              <w:t>Inter-frequency</w:t>
            </w:r>
            <w:r>
              <w:rPr>
                <w:rFonts w:hint="default" w:eastAsia="宋体"/>
                <w:color w:val="auto"/>
                <w:sz w:val="20"/>
                <w:szCs w:val="20"/>
                <w:highlight w:val="none"/>
                <w:vertAlign w:val="baseline"/>
                <w:lang w:val="en-US" w:eastAsia="zh-CN"/>
              </w:rPr>
              <w:t xml:space="preserve"> measurement accuracy is within the specified limits</w:t>
            </w:r>
            <w:r>
              <w:rPr>
                <w:rFonts w:hint="eastAsia" w:eastAsia="宋体"/>
                <w:color w:val="auto"/>
                <w:sz w:val="20"/>
                <w:szCs w:val="20"/>
                <w:highlight w:val="none"/>
                <w:vertAlign w:val="baseline"/>
                <w:lang w:val="en-US" w:eastAsia="zh-CN"/>
              </w:rPr>
              <w:t xml:space="preserve"> under the assumption of phase antenna array. Both the cases with and without NW assistance on ATC cells reference location provision should be verified. </w:t>
            </w:r>
          </w:p>
        </w:tc>
      </w:tr>
    </w:tbl>
    <w:p>
      <w:pPr>
        <w:pStyle w:val="4"/>
        <w:rPr>
          <w:rFonts w:hint="default" w:eastAsia="宋体"/>
          <w:color w:val="auto"/>
          <w:sz w:val="20"/>
          <w:szCs w:val="20"/>
          <w:highlight w:val="none"/>
          <w:lang w:val="en-US" w:eastAsia="zh-CN"/>
        </w:rPr>
      </w:pPr>
    </w:p>
    <w:p>
      <w:pPr>
        <w:pStyle w:val="4"/>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The following test cases are preferred for ATG test: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3"/>
        <w:gridCol w:w="3064"/>
        <w:gridCol w:w="4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TC index</w:t>
            </w:r>
          </w:p>
        </w:tc>
        <w:tc>
          <w:tcPr>
            <w:tcW w:w="3064"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TC</w:t>
            </w:r>
          </w:p>
        </w:tc>
        <w:tc>
          <w:tcPr>
            <w:tcW w:w="4877"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1</w:t>
            </w:r>
          </w:p>
        </w:tc>
        <w:tc>
          <w:tcPr>
            <w:tcW w:w="3064"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ATG UE transmit timing</w:t>
            </w:r>
          </w:p>
        </w:tc>
        <w:tc>
          <w:tcPr>
            <w:tcW w:w="4877"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To verify the UE initial transmit timing accuracy, maximum amount of timing change in one adjustment, minimum and maximum adjustment rate are within the specified limits.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2</w:t>
            </w:r>
          </w:p>
        </w:tc>
        <w:tc>
          <w:tcPr>
            <w:tcW w:w="3064"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 xml:space="preserve">ATG UE timing advance </w:t>
            </w:r>
          </w:p>
        </w:tc>
        <w:tc>
          <w:tcPr>
            <w:tcW w:w="4877"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T</w:t>
            </w:r>
            <w:r>
              <w:rPr>
                <w:rFonts w:hint="default" w:eastAsia="宋体"/>
                <w:b/>
                <w:bCs/>
                <w:color w:val="auto"/>
                <w:sz w:val="20"/>
                <w:szCs w:val="20"/>
                <w:highlight w:val="none"/>
                <w:vertAlign w:val="baseline"/>
                <w:lang w:val="en-US" w:eastAsia="zh-CN"/>
              </w:rPr>
              <w:t xml:space="preserve">o verify </w:t>
            </w:r>
            <w:r>
              <w:rPr>
                <w:rFonts w:hint="eastAsia" w:eastAsia="宋体"/>
                <w:b/>
                <w:bCs/>
                <w:color w:val="auto"/>
                <w:sz w:val="20"/>
                <w:szCs w:val="20"/>
                <w:highlight w:val="none"/>
                <w:vertAlign w:val="baseline"/>
                <w:lang w:val="en-US" w:eastAsia="zh-CN"/>
              </w:rPr>
              <w:t xml:space="preserve">the </w:t>
            </w:r>
            <w:r>
              <w:rPr>
                <w:rFonts w:hint="default" w:eastAsia="宋体"/>
                <w:b/>
                <w:bCs/>
                <w:color w:val="auto"/>
                <w:sz w:val="20"/>
                <w:szCs w:val="20"/>
                <w:highlight w:val="none"/>
                <w:vertAlign w:val="baseline"/>
                <w:lang w:val="en-US" w:eastAsia="zh-CN"/>
              </w:rPr>
              <w:t>UE Timing Advance adjustment delay and accuracy requirement</w:t>
            </w:r>
            <w:r>
              <w:rPr>
                <w:rFonts w:hint="eastAsia" w:eastAsia="宋体"/>
                <w:b/>
                <w:bCs/>
                <w:color w:val="auto"/>
                <w:sz w:val="20"/>
                <w:szCs w:val="20"/>
                <w:highlight w:val="none"/>
                <w:vertAlign w:val="baseline"/>
                <w:lang w:val="en-US" w:eastAsia="zh-CN"/>
              </w:rPr>
              <w:t>, including the K</w:t>
            </w:r>
            <w:r>
              <w:rPr>
                <w:rFonts w:hint="eastAsia" w:eastAsia="宋体"/>
                <w:b/>
                <w:bCs/>
                <w:color w:val="auto"/>
                <w:sz w:val="15"/>
                <w:szCs w:val="15"/>
                <w:highlight w:val="none"/>
                <w:vertAlign w:val="baseline"/>
                <w:lang w:val="en-US" w:eastAsia="zh-CN"/>
              </w:rPr>
              <w:t>offset</w:t>
            </w:r>
            <w:r>
              <w:rPr>
                <w:rFonts w:hint="eastAsia" w:eastAsia="宋体"/>
                <w:b/>
                <w:bCs/>
                <w:color w:val="auto"/>
                <w:sz w:val="20"/>
                <w:szCs w:val="20"/>
                <w:highlight w:val="none"/>
                <w:vertAlign w:val="baseline"/>
                <w:lang w:val="en-US" w:eastAsia="zh-CN"/>
              </w:rPr>
              <w:t xml:space="preserve"> into the consideration.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3</w:t>
            </w:r>
          </w:p>
        </w:tc>
        <w:tc>
          <w:tcPr>
            <w:tcW w:w="3064"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Inter-frequency measurement for cell re-selection</w:t>
            </w:r>
          </w:p>
        </w:tc>
        <w:tc>
          <w:tcPr>
            <w:tcW w:w="4877"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To verify whether the UE would perform set 1 or set 2 requirements based on the NW indicator. Furthermore, the Set 1 requirements is used by default if without any NW indicator.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4</w:t>
            </w:r>
          </w:p>
        </w:tc>
        <w:tc>
          <w:tcPr>
            <w:tcW w:w="3064"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Intra-frequency measurement for CONNECTED mode under phase antenna array assumption</w:t>
            </w:r>
          </w:p>
        </w:tc>
        <w:tc>
          <w:tcPr>
            <w:tcW w:w="4877"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To verify whether the UE perform the intra-frequency measurement with the newly introduced scaling factor N. Both cases of with and without ATG cells location provision should be verified.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5</w:t>
            </w:r>
          </w:p>
        </w:tc>
        <w:tc>
          <w:tcPr>
            <w:tcW w:w="3064"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Inter-frequency measurement for CONNECTED mode under phase antenna array assumption</w:t>
            </w:r>
          </w:p>
        </w:tc>
        <w:tc>
          <w:tcPr>
            <w:tcW w:w="4877"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To verify whether the UE perform the inter-frequency measurement with the newly introduced scaling factor N. Both cases of with and without ATG cells location provision should be verified.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6</w:t>
            </w:r>
          </w:p>
        </w:tc>
        <w:tc>
          <w:tcPr>
            <w:tcW w:w="3064" w:type="dxa"/>
            <w:vAlign w:val="top"/>
          </w:tcPr>
          <w:p>
            <w:pPr>
              <w:pStyle w:val="4"/>
              <w:rPr>
                <w:rFonts w:hint="default" w:ascii="Times New Roman" w:hAnsi="Times New Roman" w:eastAsia="宋体" w:cs="Times New Roman"/>
                <w:b/>
                <w:bCs/>
                <w:color w:val="auto"/>
                <w:sz w:val="20"/>
                <w:szCs w:val="20"/>
                <w:highlight w:val="none"/>
                <w:vertAlign w:val="baseline"/>
                <w:lang w:val="en-US" w:eastAsia="zh-CN" w:bidi="ar-SA"/>
              </w:rPr>
            </w:pPr>
            <w:r>
              <w:rPr>
                <w:rFonts w:hint="eastAsia" w:eastAsia="宋体"/>
                <w:b/>
                <w:bCs/>
                <w:color w:val="auto"/>
                <w:sz w:val="20"/>
                <w:szCs w:val="20"/>
                <w:highlight w:val="none"/>
                <w:vertAlign w:val="baseline"/>
                <w:lang w:val="en-US" w:eastAsia="zh-CN"/>
              </w:rPr>
              <w:t>L1-RSRP measurement accuracy under phase antenna array  assumption</w:t>
            </w:r>
          </w:p>
        </w:tc>
        <w:tc>
          <w:tcPr>
            <w:tcW w:w="4877"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T</w:t>
            </w:r>
            <w:r>
              <w:rPr>
                <w:rFonts w:hint="default" w:eastAsia="宋体"/>
                <w:b/>
                <w:bCs/>
                <w:color w:val="auto"/>
                <w:sz w:val="20"/>
                <w:szCs w:val="20"/>
                <w:highlight w:val="none"/>
                <w:vertAlign w:val="baseline"/>
                <w:lang w:val="en-US" w:eastAsia="zh-CN"/>
              </w:rPr>
              <w:t xml:space="preserve">o verify </w:t>
            </w:r>
            <w:r>
              <w:rPr>
                <w:rFonts w:hint="eastAsia" w:eastAsia="宋体"/>
                <w:b/>
                <w:bCs/>
                <w:color w:val="auto"/>
                <w:sz w:val="20"/>
                <w:szCs w:val="20"/>
                <w:highlight w:val="none"/>
                <w:vertAlign w:val="baseline"/>
                <w:lang w:val="en-US" w:eastAsia="zh-CN"/>
              </w:rPr>
              <w:t xml:space="preserve">whether </w:t>
            </w:r>
            <w:r>
              <w:rPr>
                <w:rFonts w:hint="default" w:eastAsia="宋体"/>
                <w:b/>
                <w:bCs/>
                <w:color w:val="auto"/>
                <w:sz w:val="20"/>
                <w:szCs w:val="20"/>
                <w:highlight w:val="none"/>
                <w:vertAlign w:val="baseline"/>
                <w:lang w:val="en-US" w:eastAsia="zh-CN"/>
              </w:rPr>
              <w:t xml:space="preserve">the </w:t>
            </w:r>
            <w:r>
              <w:rPr>
                <w:rFonts w:hint="eastAsia" w:eastAsia="宋体"/>
                <w:b/>
                <w:bCs/>
                <w:color w:val="auto"/>
                <w:sz w:val="20"/>
                <w:szCs w:val="20"/>
                <w:highlight w:val="none"/>
                <w:vertAlign w:val="baseline"/>
                <w:lang w:val="en-US" w:eastAsia="zh-CN"/>
              </w:rPr>
              <w:t>L1</w:t>
            </w:r>
            <w:r>
              <w:rPr>
                <w:rFonts w:hint="default" w:eastAsia="宋体"/>
                <w:b/>
                <w:bCs/>
                <w:color w:val="auto"/>
                <w:sz w:val="20"/>
                <w:szCs w:val="20"/>
                <w:highlight w:val="none"/>
                <w:vertAlign w:val="baseline"/>
                <w:lang w:val="en-US" w:eastAsia="zh-CN"/>
              </w:rPr>
              <w:t>-RSRP measurement accuracy is within the specified limits</w:t>
            </w:r>
            <w:r>
              <w:rPr>
                <w:rFonts w:hint="eastAsia" w:eastAsia="宋体"/>
                <w:b/>
                <w:bCs/>
                <w:color w:val="auto"/>
                <w:sz w:val="20"/>
                <w:szCs w:val="20"/>
                <w:highlight w:val="none"/>
                <w:vertAlign w:val="baseline"/>
                <w:lang w:val="en-US" w:eastAsia="zh-CN"/>
              </w:rPr>
              <w:t xml:space="preserve"> under the assumption of phase antenna array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7</w:t>
            </w:r>
          </w:p>
        </w:tc>
        <w:tc>
          <w:tcPr>
            <w:tcW w:w="3064" w:type="dxa"/>
            <w:vAlign w:val="top"/>
          </w:tcPr>
          <w:p>
            <w:pPr>
              <w:pStyle w:val="4"/>
              <w:rPr>
                <w:rFonts w:hint="default" w:ascii="Times New Roman" w:hAnsi="Times New Roman" w:eastAsia="宋体" w:cs="Times New Roman"/>
                <w:b/>
                <w:bCs/>
                <w:color w:val="auto"/>
                <w:sz w:val="20"/>
                <w:szCs w:val="20"/>
                <w:highlight w:val="none"/>
                <w:vertAlign w:val="baseline"/>
                <w:lang w:val="en-US" w:eastAsia="zh-CN" w:bidi="ar-SA"/>
              </w:rPr>
            </w:pPr>
            <w:r>
              <w:rPr>
                <w:rFonts w:hint="eastAsia" w:eastAsia="宋体"/>
                <w:b/>
                <w:bCs/>
                <w:color w:val="auto"/>
                <w:sz w:val="20"/>
                <w:szCs w:val="20"/>
                <w:highlight w:val="none"/>
                <w:vertAlign w:val="baseline"/>
                <w:lang w:val="en-US" w:eastAsia="zh-CN"/>
              </w:rPr>
              <w:t>L1-SINR measurement accuracy under phase antenna array assumption</w:t>
            </w:r>
          </w:p>
        </w:tc>
        <w:tc>
          <w:tcPr>
            <w:tcW w:w="4877" w:type="dxa"/>
          </w:tcPr>
          <w:p>
            <w:pPr>
              <w:pStyle w:val="4"/>
              <w:rPr>
                <w:rFonts w:hint="eastAsia"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T</w:t>
            </w:r>
            <w:r>
              <w:rPr>
                <w:rFonts w:hint="default" w:eastAsia="宋体"/>
                <w:b/>
                <w:bCs/>
                <w:color w:val="auto"/>
                <w:sz w:val="20"/>
                <w:szCs w:val="20"/>
                <w:highlight w:val="none"/>
                <w:vertAlign w:val="baseline"/>
                <w:lang w:val="en-US" w:eastAsia="zh-CN"/>
              </w:rPr>
              <w:t xml:space="preserve">o verify </w:t>
            </w:r>
            <w:r>
              <w:rPr>
                <w:rFonts w:hint="eastAsia" w:eastAsia="宋体"/>
                <w:b/>
                <w:bCs/>
                <w:color w:val="auto"/>
                <w:sz w:val="20"/>
                <w:szCs w:val="20"/>
                <w:highlight w:val="none"/>
                <w:vertAlign w:val="baseline"/>
                <w:lang w:val="en-US" w:eastAsia="zh-CN"/>
              </w:rPr>
              <w:t xml:space="preserve">whether </w:t>
            </w:r>
            <w:r>
              <w:rPr>
                <w:rFonts w:hint="default" w:eastAsia="宋体"/>
                <w:b/>
                <w:bCs/>
                <w:color w:val="auto"/>
                <w:sz w:val="20"/>
                <w:szCs w:val="20"/>
                <w:highlight w:val="none"/>
                <w:vertAlign w:val="baseline"/>
                <w:lang w:val="en-US" w:eastAsia="zh-CN"/>
              </w:rPr>
              <w:t xml:space="preserve">the </w:t>
            </w:r>
            <w:r>
              <w:rPr>
                <w:rFonts w:hint="eastAsia" w:eastAsia="宋体"/>
                <w:b/>
                <w:bCs/>
                <w:color w:val="auto"/>
                <w:sz w:val="20"/>
                <w:szCs w:val="20"/>
                <w:highlight w:val="none"/>
                <w:vertAlign w:val="baseline"/>
                <w:lang w:val="en-US" w:eastAsia="zh-CN"/>
              </w:rPr>
              <w:t>L1</w:t>
            </w:r>
            <w:r>
              <w:rPr>
                <w:rFonts w:hint="default" w:eastAsia="宋体"/>
                <w:b/>
                <w:bCs/>
                <w:color w:val="auto"/>
                <w:sz w:val="20"/>
                <w:szCs w:val="20"/>
                <w:highlight w:val="none"/>
                <w:vertAlign w:val="baseline"/>
                <w:lang w:val="en-US" w:eastAsia="zh-CN"/>
              </w:rPr>
              <w:t>-</w:t>
            </w:r>
            <w:r>
              <w:rPr>
                <w:rFonts w:hint="eastAsia" w:eastAsia="宋体"/>
                <w:b/>
                <w:bCs/>
                <w:color w:val="auto"/>
                <w:sz w:val="20"/>
                <w:szCs w:val="20"/>
                <w:highlight w:val="none"/>
                <w:vertAlign w:val="baseline"/>
                <w:lang w:val="en-US" w:eastAsia="zh-CN"/>
              </w:rPr>
              <w:t>SINR</w:t>
            </w:r>
            <w:r>
              <w:rPr>
                <w:rFonts w:hint="default" w:eastAsia="宋体"/>
                <w:b/>
                <w:bCs/>
                <w:color w:val="auto"/>
                <w:sz w:val="20"/>
                <w:szCs w:val="20"/>
                <w:highlight w:val="none"/>
                <w:vertAlign w:val="baseline"/>
                <w:lang w:val="en-US" w:eastAsia="zh-CN"/>
              </w:rPr>
              <w:t xml:space="preserve"> measurement accuracy is within the specified limits</w:t>
            </w:r>
            <w:r>
              <w:rPr>
                <w:rFonts w:hint="eastAsia" w:eastAsia="宋体"/>
                <w:b/>
                <w:bCs/>
                <w:color w:val="auto"/>
                <w:sz w:val="20"/>
                <w:szCs w:val="20"/>
                <w:highlight w:val="none"/>
                <w:vertAlign w:val="baseline"/>
                <w:lang w:val="en-US" w:eastAsia="zh-CN"/>
              </w:rPr>
              <w:t xml:space="preserve"> under the assumption of phase antenna array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8</w:t>
            </w:r>
          </w:p>
        </w:tc>
        <w:tc>
          <w:tcPr>
            <w:tcW w:w="3064"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 xml:space="preserve">Intra-frequency measurement accuracy for CONNECTED mode under phase antenna array assumption  </w:t>
            </w:r>
          </w:p>
        </w:tc>
        <w:tc>
          <w:tcPr>
            <w:tcW w:w="4877"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T</w:t>
            </w:r>
            <w:r>
              <w:rPr>
                <w:rFonts w:hint="default" w:eastAsia="宋体"/>
                <w:b/>
                <w:bCs/>
                <w:color w:val="auto"/>
                <w:sz w:val="20"/>
                <w:szCs w:val="20"/>
                <w:highlight w:val="none"/>
                <w:vertAlign w:val="baseline"/>
                <w:lang w:val="en-US" w:eastAsia="zh-CN"/>
              </w:rPr>
              <w:t xml:space="preserve">o verify </w:t>
            </w:r>
            <w:r>
              <w:rPr>
                <w:rFonts w:hint="eastAsia" w:eastAsia="宋体"/>
                <w:b/>
                <w:bCs/>
                <w:color w:val="auto"/>
                <w:sz w:val="20"/>
                <w:szCs w:val="20"/>
                <w:highlight w:val="none"/>
                <w:vertAlign w:val="baseline"/>
                <w:lang w:val="en-US" w:eastAsia="zh-CN"/>
              </w:rPr>
              <w:t xml:space="preserve">whether </w:t>
            </w:r>
            <w:r>
              <w:rPr>
                <w:rFonts w:hint="default" w:eastAsia="宋体"/>
                <w:b/>
                <w:bCs/>
                <w:color w:val="auto"/>
                <w:sz w:val="20"/>
                <w:szCs w:val="20"/>
                <w:highlight w:val="none"/>
                <w:vertAlign w:val="baseline"/>
                <w:lang w:val="en-US" w:eastAsia="zh-CN"/>
              </w:rPr>
              <w:t xml:space="preserve">the </w:t>
            </w:r>
            <w:r>
              <w:rPr>
                <w:rFonts w:hint="eastAsia" w:eastAsia="宋体"/>
                <w:b/>
                <w:bCs/>
                <w:color w:val="auto"/>
                <w:sz w:val="20"/>
                <w:szCs w:val="20"/>
                <w:highlight w:val="none"/>
                <w:vertAlign w:val="baseline"/>
                <w:lang w:val="en-US" w:eastAsia="zh-CN"/>
              </w:rPr>
              <w:t>Intra-frequency</w:t>
            </w:r>
            <w:r>
              <w:rPr>
                <w:rFonts w:hint="default" w:eastAsia="宋体"/>
                <w:b/>
                <w:bCs/>
                <w:color w:val="auto"/>
                <w:sz w:val="20"/>
                <w:szCs w:val="20"/>
                <w:highlight w:val="none"/>
                <w:vertAlign w:val="baseline"/>
                <w:lang w:val="en-US" w:eastAsia="zh-CN"/>
              </w:rPr>
              <w:t xml:space="preserve"> measurement accuracy is within the specified limits</w:t>
            </w:r>
            <w:r>
              <w:rPr>
                <w:rFonts w:hint="eastAsia" w:eastAsia="宋体"/>
                <w:b/>
                <w:bCs/>
                <w:color w:val="auto"/>
                <w:sz w:val="20"/>
                <w:szCs w:val="20"/>
                <w:highlight w:val="none"/>
                <w:vertAlign w:val="baseline"/>
                <w:lang w:val="en-US" w:eastAsia="zh-CN"/>
              </w:rPr>
              <w:t xml:space="preserve"> under the assumption of phase antenna array. Both the cases with and without NW assistance on ATC cells reference location provision should be verified.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9</w:t>
            </w:r>
          </w:p>
        </w:tc>
        <w:tc>
          <w:tcPr>
            <w:tcW w:w="3064" w:type="dxa"/>
          </w:tcPr>
          <w:p>
            <w:pPr>
              <w:pStyle w:val="4"/>
              <w:rPr>
                <w:rFonts w:hint="eastAsia"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 xml:space="preserve">Inter-frequency measurement accuracy for CONNECTED mode under phase antenna array assumption  </w:t>
            </w:r>
          </w:p>
        </w:tc>
        <w:tc>
          <w:tcPr>
            <w:tcW w:w="4877" w:type="dxa"/>
          </w:tcPr>
          <w:p>
            <w:pPr>
              <w:pStyle w:val="4"/>
              <w:rPr>
                <w:rFonts w:hint="eastAsia"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T</w:t>
            </w:r>
            <w:r>
              <w:rPr>
                <w:rFonts w:hint="default" w:eastAsia="宋体"/>
                <w:b/>
                <w:bCs/>
                <w:color w:val="auto"/>
                <w:sz w:val="20"/>
                <w:szCs w:val="20"/>
                <w:highlight w:val="none"/>
                <w:vertAlign w:val="baseline"/>
                <w:lang w:val="en-US" w:eastAsia="zh-CN"/>
              </w:rPr>
              <w:t xml:space="preserve">o verify </w:t>
            </w:r>
            <w:r>
              <w:rPr>
                <w:rFonts w:hint="eastAsia" w:eastAsia="宋体"/>
                <w:b/>
                <w:bCs/>
                <w:color w:val="auto"/>
                <w:sz w:val="20"/>
                <w:szCs w:val="20"/>
                <w:highlight w:val="none"/>
                <w:vertAlign w:val="baseline"/>
                <w:lang w:val="en-US" w:eastAsia="zh-CN"/>
              </w:rPr>
              <w:t xml:space="preserve">whether </w:t>
            </w:r>
            <w:r>
              <w:rPr>
                <w:rFonts w:hint="default" w:eastAsia="宋体"/>
                <w:b/>
                <w:bCs/>
                <w:color w:val="auto"/>
                <w:sz w:val="20"/>
                <w:szCs w:val="20"/>
                <w:highlight w:val="none"/>
                <w:vertAlign w:val="baseline"/>
                <w:lang w:val="en-US" w:eastAsia="zh-CN"/>
              </w:rPr>
              <w:t xml:space="preserve">the </w:t>
            </w:r>
            <w:r>
              <w:rPr>
                <w:rFonts w:hint="eastAsia" w:eastAsia="宋体"/>
                <w:b/>
                <w:bCs/>
                <w:color w:val="auto"/>
                <w:sz w:val="20"/>
                <w:szCs w:val="20"/>
                <w:highlight w:val="none"/>
                <w:vertAlign w:val="baseline"/>
                <w:lang w:val="en-US" w:eastAsia="zh-CN"/>
              </w:rPr>
              <w:t>Inter-frequency</w:t>
            </w:r>
            <w:r>
              <w:rPr>
                <w:rFonts w:hint="default" w:eastAsia="宋体"/>
                <w:b/>
                <w:bCs/>
                <w:color w:val="auto"/>
                <w:sz w:val="20"/>
                <w:szCs w:val="20"/>
                <w:highlight w:val="none"/>
                <w:vertAlign w:val="baseline"/>
                <w:lang w:val="en-US" w:eastAsia="zh-CN"/>
              </w:rPr>
              <w:t xml:space="preserve"> measurement accuracy is within the specified limits</w:t>
            </w:r>
            <w:r>
              <w:rPr>
                <w:rFonts w:hint="eastAsia" w:eastAsia="宋体"/>
                <w:b/>
                <w:bCs/>
                <w:color w:val="auto"/>
                <w:sz w:val="20"/>
                <w:szCs w:val="20"/>
                <w:highlight w:val="none"/>
                <w:vertAlign w:val="baseline"/>
                <w:lang w:val="en-US" w:eastAsia="zh-CN"/>
              </w:rPr>
              <w:t xml:space="preserve"> under the assumption of phase antenna array. Both the cases with and without NW assistance on ATC cells reference location provision should be verified. </w:t>
            </w:r>
          </w:p>
        </w:tc>
      </w:tr>
    </w:tbl>
    <w:p>
      <w:pPr>
        <w:pStyle w:val="4"/>
        <w:numPr>
          <w:ilvl w:val="0"/>
          <w:numId w:val="0"/>
        </w:numPr>
        <w:ind w:leftChars="0"/>
        <w:jc w:val="both"/>
        <w:rPr>
          <w:rFonts w:hint="default" w:eastAsia="宋体" w:cs="Times New Roman"/>
          <w:b/>
          <w:bCs/>
          <w:color w:val="auto"/>
          <w:sz w:val="20"/>
          <w:szCs w:val="20"/>
          <w:highlight w:val="none"/>
          <w:lang w:val="en-US" w:eastAsia="zh-CN" w:bidi="ar-SA"/>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performance requirements of ATG system</w:t>
      </w:r>
      <w:r>
        <w:rPr>
          <w:rFonts w:eastAsia="宋体"/>
          <w:bCs/>
          <w:color w:val="auto"/>
          <w:sz w:val="20"/>
          <w:szCs w:val="20"/>
          <w:lang w:val="en-GB" w:eastAsia="zh-CN"/>
        </w:rPr>
        <w:t>:</w:t>
      </w:r>
    </w:p>
    <w:p>
      <w:pPr>
        <w:pStyle w:val="4"/>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The general configuration of the test are suggested:</w:t>
      </w:r>
    </w:p>
    <w:p>
      <w:pPr>
        <w:pStyle w:val="4"/>
        <w:numPr>
          <w:ilvl w:val="0"/>
          <w:numId w:val="4"/>
        </w:numPr>
        <w:ind w:left="420" w:leftChars="0" w:hanging="420" w:firstLineChars="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Testing band: </w:t>
      </w:r>
    </w:p>
    <w:p>
      <w:pPr>
        <w:pStyle w:val="4"/>
        <w:numPr>
          <w:ilvl w:val="0"/>
          <w:numId w:val="5"/>
        </w:numPr>
        <w:ind w:left="840" w:leftChars="0" w:hanging="420" w:firstLineChars="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Band n79 should be configured for the sake of phase array antenna relevant enhancements testing;</w:t>
      </w:r>
    </w:p>
    <w:p>
      <w:pPr>
        <w:pStyle w:val="4"/>
        <w:numPr>
          <w:ilvl w:val="0"/>
          <w:numId w:val="5"/>
        </w:numPr>
        <w:ind w:left="840" w:leftChars="0" w:hanging="420" w:firstLineChars="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At least one band within {n1, n3, n34, n39, n41, n78} is considered to test other ATG enhancement besides the phase array antenna relevant enhancements testing;</w:t>
      </w:r>
    </w:p>
    <w:p>
      <w:pPr>
        <w:pStyle w:val="4"/>
        <w:numPr>
          <w:ilvl w:val="0"/>
          <w:numId w:val="4"/>
        </w:numPr>
        <w:ind w:left="420" w:leftChars="0" w:hanging="420" w:firstLineChars="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Duplex: </w:t>
      </w:r>
    </w:p>
    <w:p>
      <w:pPr>
        <w:pStyle w:val="4"/>
        <w:numPr>
          <w:ilvl w:val="0"/>
          <w:numId w:val="6"/>
        </w:numPr>
        <w:tabs>
          <w:tab w:val="clear" w:pos="420"/>
        </w:tabs>
        <w:ind w:left="840" w:leftChars="0" w:hanging="420" w:firstLineChars="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Similar as in legacy, both FDD and TDD should be configured.</w:t>
      </w:r>
    </w:p>
    <w:p>
      <w:pPr>
        <w:pStyle w:val="4"/>
        <w:numPr>
          <w:ilvl w:val="0"/>
          <w:numId w:val="4"/>
        </w:numPr>
        <w:ind w:left="420" w:leftChars="0" w:hanging="420" w:firstLineChars="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SCS: </w:t>
      </w:r>
    </w:p>
    <w:p>
      <w:pPr>
        <w:pStyle w:val="4"/>
        <w:numPr>
          <w:ilvl w:val="0"/>
          <w:numId w:val="6"/>
        </w:numPr>
        <w:tabs>
          <w:tab w:val="clear" w:pos="420"/>
        </w:tabs>
        <w:ind w:left="840" w:leftChars="0" w:hanging="420" w:firstLineChars="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Similar as in legacy, both 15kHz, 30kHz should be configured.</w:t>
      </w:r>
    </w:p>
    <w:p>
      <w:pPr>
        <w:pStyle w:val="4"/>
        <w:numPr>
          <w:ilvl w:val="0"/>
          <w:numId w:val="6"/>
        </w:numPr>
        <w:tabs>
          <w:tab w:val="clear" w:pos="420"/>
        </w:tabs>
        <w:ind w:left="840" w:leftChars="0" w:hanging="420" w:firstLineChars="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Not consider 60kHz since some RRM requirement is vacant for 60kHz.</w:t>
      </w:r>
    </w:p>
    <w:p>
      <w:pPr>
        <w:pStyle w:val="4"/>
        <w:numPr>
          <w:ilvl w:val="0"/>
          <w:numId w:val="4"/>
        </w:numPr>
        <w:ind w:left="420" w:leftChars="0" w:hanging="420" w:firstLineChars="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TDD pattern: </w:t>
      </w:r>
    </w:p>
    <w:p>
      <w:pPr>
        <w:pStyle w:val="4"/>
        <w:numPr>
          <w:ilvl w:val="0"/>
          <w:numId w:val="6"/>
        </w:numPr>
        <w:tabs>
          <w:tab w:val="clear" w:pos="420"/>
        </w:tabs>
        <w:ind w:left="840" w:leftChars="0" w:hanging="420" w:firstLineChars="0"/>
        <w:jc w:val="both"/>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 xml:space="preserve">TDD pattern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30D4S6U</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S=</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14GP</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should be prioritized in the test.</w:t>
      </w:r>
    </w:p>
    <w:p>
      <w:pPr>
        <w:pStyle w:val="4"/>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2: Ignoring the frequency compensation when considering the measurement accuracy since no RRM impact. The accuracy of timing compensation consists of GNSS error and BS location error consideration, both have been addressed. No need to introduce additional measurement accuracy. </w:t>
      </w:r>
    </w:p>
    <w:p>
      <w:pPr>
        <w:pStyle w:val="4"/>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The accuracy requirement of L1 measurement should be identified for ATG.</w:t>
      </w:r>
    </w:p>
    <w:p>
      <w:pPr>
        <w:pStyle w:val="4"/>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The requirement of L3 measurement is divided into two cases: phase array antenna case and non-phase array antenna i.e. omni antenna case. For the former, reuse the requirement of legacy FR1 TN. For the latter, additional scaling factor N is introduced to address the beam issue during L3 measurement.</w:t>
      </w:r>
    </w:p>
    <w:p>
      <w:pPr>
        <w:pStyle w:val="4"/>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Regarding L3 measurement accuracy, reuse the accuracy requirement of legacy FR1 TN for the non-phase array antenna assumption; it is better to identify the accuracy requirement for the phase array antenna assumption.</w:t>
      </w:r>
    </w:p>
    <w:p>
      <w:pPr>
        <w:pStyle w:val="4"/>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A general principle is to only define the test cases for those requirements that are different from the TN deployment or not involved in the TN deployment.</w:t>
      </w:r>
    </w:p>
    <w:p>
      <w:pPr>
        <w:pStyle w:val="4"/>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The following test cases are preferred for ATG test: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3"/>
        <w:gridCol w:w="3064"/>
        <w:gridCol w:w="4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TC index</w:t>
            </w:r>
          </w:p>
        </w:tc>
        <w:tc>
          <w:tcPr>
            <w:tcW w:w="3064"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TC</w:t>
            </w:r>
          </w:p>
        </w:tc>
        <w:tc>
          <w:tcPr>
            <w:tcW w:w="4877"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1</w:t>
            </w:r>
          </w:p>
        </w:tc>
        <w:tc>
          <w:tcPr>
            <w:tcW w:w="3064"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ATG UE transmit timing</w:t>
            </w:r>
          </w:p>
        </w:tc>
        <w:tc>
          <w:tcPr>
            <w:tcW w:w="4877"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To verify the UE initial transmit timing accuracy, maximum amount of timing change in one adjustment, minimum and maximum adjustment rate are within the specified limits.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2</w:t>
            </w:r>
          </w:p>
        </w:tc>
        <w:tc>
          <w:tcPr>
            <w:tcW w:w="3064"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 xml:space="preserve">ATG UE timing advance </w:t>
            </w:r>
          </w:p>
        </w:tc>
        <w:tc>
          <w:tcPr>
            <w:tcW w:w="4877"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T</w:t>
            </w:r>
            <w:r>
              <w:rPr>
                <w:rFonts w:hint="default" w:eastAsia="宋体"/>
                <w:b/>
                <w:bCs/>
                <w:color w:val="auto"/>
                <w:sz w:val="20"/>
                <w:szCs w:val="20"/>
                <w:highlight w:val="none"/>
                <w:vertAlign w:val="baseline"/>
                <w:lang w:val="en-US" w:eastAsia="zh-CN"/>
              </w:rPr>
              <w:t xml:space="preserve">o verify </w:t>
            </w:r>
            <w:r>
              <w:rPr>
                <w:rFonts w:hint="eastAsia" w:eastAsia="宋体"/>
                <w:b/>
                <w:bCs/>
                <w:color w:val="auto"/>
                <w:sz w:val="20"/>
                <w:szCs w:val="20"/>
                <w:highlight w:val="none"/>
                <w:vertAlign w:val="baseline"/>
                <w:lang w:val="en-US" w:eastAsia="zh-CN"/>
              </w:rPr>
              <w:t xml:space="preserve">the </w:t>
            </w:r>
            <w:r>
              <w:rPr>
                <w:rFonts w:hint="default" w:eastAsia="宋体"/>
                <w:b/>
                <w:bCs/>
                <w:color w:val="auto"/>
                <w:sz w:val="20"/>
                <w:szCs w:val="20"/>
                <w:highlight w:val="none"/>
                <w:vertAlign w:val="baseline"/>
                <w:lang w:val="en-US" w:eastAsia="zh-CN"/>
              </w:rPr>
              <w:t>UE Timing Advance adjustment delay and accuracy requirement</w:t>
            </w:r>
            <w:r>
              <w:rPr>
                <w:rFonts w:hint="eastAsia" w:eastAsia="宋体"/>
                <w:b/>
                <w:bCs/>
                <w:color w:val="auto"/>
                <w:sz w:val="20"/>
                <w:szCs w:val="20"/>
                <w:highlight w:val="none"/>
                <w:vertAlign w:val="baseline"/>
                <w:lang w:val="en-US" w:eastAsia="zh-CN"/>
              </w:rPr>
              <w:t>, including the K</w:t>
            </w:r>
            <w:r>
              <w:rPr>
                <w:rFonts w:hint="eastAsia" w:eastAsia="宋体"/>
                <w:b/>
                <w:bCs/>
                <w:color w:val="auto"/>
                <w:sz w:val="15"/>
                <w:szCs w:val="15"/>
                <w:highlight w:val="none"/>
                <w:vertAlign w:val="baseline"/>
                <w:lang w:val="en-US" w:eastAsia="zh-CN"/>
              </w:rPr>
              <w:t>offset</w:t>
            </w:r>
            <w:r>
              <w:rPr>
                <w:rFonts w:hint="eastAsia" w:eastAsia="宋体"/>
                <w:b/>
                <w:bCs/>
                <w:color w:val="auto"/>
                <w:sz w:val="20"/>
                <w:szCs w:val="20"/>
                <w:highlight w:val="none"/>
                <w:vertAlign w:val="baseline"/>
                <w:lang w:val="en-US" w:eastAsia="zh-CN"/>
              </w:rPr>
              <w:t xml:space="preserve"> into the consideration.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3</w:t>
            </w:r>
          </w:p>
        </w:tc>
        <w:tc>
          <w:tcPr>
            <w:tcW w:w="3064"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Inter-frequency measurement for cell re-selection</w:t>
            </w:r>
          </w:p>
        </w:tc>
        <w:tc>
          <w:tcPr>
            <w:tcW w:w="4877"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To verify whether the UE would perform set 1 or set 2 requirements based on the NW indicator. Furthermore, the Set 1 requirements is used by default if without any NW indicator.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4</w:t>
            </w:r>
          </w:p>
        </w:tc>
        <w:tc>
          <w:tcPr>
            <w:tcW w:w="3064"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Intra-frequency measurement for CONNECTED mode under phase antenna array assumption</w:t>
            </w:r>
          </w:p>
        </w:tc>
        <w:tc>
          <w:tcPr>
            <w:tcW w:w="4877"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To verify whether the UE perform the intra-frequency measurement with the newly introduced scaling factor N. Both cases of with and without ATG cells location provision should be verified.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5</w:t>
            </w:r>
          </w:p>
        </w:tc>
        <w:tc>
          <w:tcPr>
            <w:tcW w:w="3064"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Inter-frequency measurement for CONNECTED mode under phase antenna array assumption</w:t>
            </w:r>
          </w:p>
        </w:tc>
        <w:tc>
          <w:tcPr>
            <w:tcW w:w="4877"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To verify whether the UE perform the inter-frequency measurement with the newly introduced scaling factor N. Both cases of with and without ATG cells location provision should be verified.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6</w:t>
            </w:r>
          </w:p>
        </w:tc>
        <w:tc>
          <w:tcPr>
            <w:tcW w:w="3064" w:type="dxa"/>
            <w:vAlign w:val="top"/>
          </w:tcPr>
          <w:p>
            <w:pPr>
              <w:pStyle w:val="4"/>
              <w:rPr>
                <w:rFonts w:hint="default" w:ascii="Times New Roman" w:hAnsi="Times New Roman" w:eastAsia="宋体" w:cs="Times New Roman"/>
                <w:b/>
                <w:bCs/>
                <w:color w:val="auto"/>
                <w:sz w:val="20"/>
                <w:szCs w:val="20"/>
                <w:highlight w:val="none"/>
                <w:vertAlign w:val="baseline"/>
                <w:lang w:val="en-US" w:eastAsia="zh-CN" w:bidi="ar-SA"/>
              </w:rPr>
            </w:pPr>
            <w:r>
              <w:rPr>
                <w:rFonts w:hint="eastAsia" w:eastAsia="宋体"/>
                <w:b/>
                <w:bCs/>
                <w:color w:val="auto"/>
                <w:sz w:val="20"/>
                <w:szCs w:val="20"/>
                <w:highlight w:val="none"/>
                <w:vertAlign w:val="baseline"/>
                <w:lang w:val="en-US" w:eastAsia="zh-CN"/>
              </w:rPr>
              <w:t>L1-RSRP measurement accuracy under phase antenna array  assumption</w:t>
            </w:r>
          </w:p>
        </w:tc>
        <w:tc>
          <w:tcPr>
            <w:tcW w:w="4877"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T</w:t>
            </w:r>
            <w:r>
              <w:rPr>
                <w:rFonts w:hint="default" w:eastAsia="宋体"/>
                <w:b/>
                <w:bCs/>
                <w:color w:val="auto"/>
                <w:sz w:val="20"/>
                <w:szCs w:val="20"/>
                <w:highlight w:val="none"/>
                <w:vertAlign w:val="baseline"/>
                <w:lang w:val="en-US" w:eastAsia="zh-CN"/>
              </w:rPr>
              <w:t xml:space="preserve">o verify </w:t>
            </w:r>
            <w:r>
              <w:rPr>
                <w:rFonts w:hint="eastAsia" w:eastAsia="宋体"/>
                <w:b/>
                <w:bCs/>
                <w:color w:val="auto"/>
                <w:sz w:val="20"/>
                <w:szCs w:val="20"/>
                <w:highlight w:val="none"/>
                <w:vertAlign w:val="baseline"/>
                <w:lang w:val="en-US" w:eastAsia="zh-CN"/>
              </w:rPr>
              <w:t xml:space="preserve">whether </w:t>
            </w:r>
            <w:r>
              <w:rPr>
                <w:rFonts w:hint="default" w:eastAsia="宋体"/>
                <w:b/>
                <w:bCs/>
                <w:color w:val="auto"/>
                <w:sz w:val="20"/>
                <w:szCs w:val="20"/>
                <w:highlight w:val="none"/>
                <w:vertAlign w:val="baseline"/>
                <w:lang w:val="en-US" w:eastAsia="zh-CN"/>
              </w:rPr>
              <w:t xml:space="preserve">the </w:t>
            </w:r>
            <w:r>
              <w:rPr>
                <w:rFonts w:hint="eastAsia" w:eastAsia="宋体"/>
                <w:b/>
                <w:bCs/>
                <w:color w:val="auto"/>
                <w:sz w:val="20"/>
                <w:szCs w:val="20"/>
                <w:highlight w:val="none"/>
                <w:vertAlign w:val="baseline"/>
                <w:lang w:val="en-US" w:eastAsia="zh-CN"/>
              </w:rPr>
              <w:t>L1</w:t>
            </w:r>
            <w:r>
              <w:rPr>
                <w:rFonts w:hint="default" w:eastAsia="宋体"/>
                <w:b/>
                <w:bCs/>
                <w:color w:val="auto"/>
                <w:sz w:val="20"/>
                <w:szCs w:val="20"/>
                <w:highlight w:val="none"/>
                <w:vertAlign w:val="baseline"/>
                <w:lang w:val="en-US" w:eastAsia="zh-CN"/>
              </w:rPr>
              <w:t>-RSRP measurement accuracy is within the specified limits</w:t>
            </w:r>
            <w:r>
              <w:rPr>
                <w:rFonts w:hint="eastAsia" w:eastAsia="宋体"/>
                <w:b/>
                <w:bCs/>
                <w:color w:val="auto"/>
                <w:sz w:val="20"/>
                <w:szCs w:val="20"/>
                <w:highlight w:val="none"/>
                <w:vertAlign w:val="baseline"/>
                <w:lang w:val="en-US" w:eastAsia="zh-CN"/>
              </w:rPr>
              <w:t xml:space="preserve"> under the assumption of phase antenna array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7</w:t>
            </w:r>
          </w:p>
        </w:tc>
        <w:tc>
          <w:tcPr>
            <w:tcW w:w="3064" w:type="dxa"/>
            <w:vAlign w:val="top"/>
          </w:tcPr>
          <w:p>
            <w:pPr>
              <w:pStyle w:val="4"/>
              <w:rPr>
                <w:rFonts w:hint="default" w:ascii="Times New Roman" w:hAnsi="Times New Roman" w:eastAsia="宋体" w:cs="Times New Roman"/>
                <w:b/>
                <w:bCs/>
                <w:color w:val="auto"/>
                <w:sz w:val="20"/>
                <w:szCs w:val="20"/>
                <w:highlight w:val="none"/>
                <w:vertAlign w:val="baseline"/>
                <w:lang w:val="en-US" w:eastAsia="zh-CN" w:bidi="ar-SA"/>
              </w:rPr>
            </w:pPr>
            <w:r>
              <w:rPr>
                <w:rFonts w:hint="eastAsia" w:eastAsia="宋体"/>
                <w:b/>
                <w:bCs/>
                <w:color w:val="auto"/>
                <w:sz w:val="20"/>
                <w:szCs w:val="20"/>
                <w:highlight w:val="none"/>
                <w:vertAlign w:val="baseline"/>
                <w:lang w:val="en-US" w:eastAsia="zh-CN"/>
              </w:rPr>
              <w:t>L1-SINR measurement accuracy under phase antenna array assumption</w:t>
            </w:r>
          </w:p>
        </w:tc>
        <w:tc>
          <w:tcPr>
            <w:tcW w:w="4877" w:type="dxa"/>
          </w:tcPr>
          <w:p>
            <w:pPr>
              <w:pStyle w:val="4"/>
              <w:rPr>
                <w:rFonts w:hint="eastAsia"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T</w:t>
            </w:r>
            <w:r>
              <w:rPr>
                <w:rFonts w:hint="default" w:eastAsia="宋体"/>
                <w:b/>
                <w:bCs/>
                <w:color w:val="auto"/>
                <w:sz w:val="20"/>
                <w:szCs w:val="20"/>
                <w:highlight w:val="none"/>
                <w:vertAlign w:val="baseline"/>
                <w:lang w:val="en-US" w:eastAsia="zh-CN"/>
              </w:rPr>
              <w:t xml:space="preserve">o verify </w:t>
            </w:r>
            <w:r>
              <w:rPr>
                <w:rFonts w:hint="eastAsia" w:eastAsia="宋体"/>
                <w:b/>
                <w:bCs/>
                <w:color w:val="auto"/>
                <w:sz w:val="20"/>
                <w:szCs w:val="20"/>
                <w:highlight w:val="none"/>
                <w:vertAlign w:val="baseline"/>
                <w:lang w:val="en-US" w:eastAsia="zh-CN"/>
              </w:rPr>
              <w:t xml:space="preserve">whether </w:t>
            </w:r>
            <w:r>
              <w:rPr>
                <w:rFonts w:hint="default" w:eastAsia="宋体"/>
                <w:b/>
                <w:bCs/>
                <w:color w:val="auto"/>
                <w:sz w:val="20"/>
                <w:szCs w:val="20"/>
                <w:highlight w:val="none"/>
                <w:vertAlign w:val="baseline"/>
                <w:lang w:val="en-US" w:eastAsia="zh-CN"/>
              </w:rPr>
              <w:t xml:space="preserve">the </w:t>
            </w:r>
            <w:r>
              <w:rPr>
                <w:rFonts w:hint="eastAsia" w:eastAsia="宋体"/>
                <w:b/>
                <w:bCs/>
                <w:color w:val="auto"/>
                <w:sz w:val="20"/>
                <w:szCs w:val="20"/>
                <w:highlight w:val="none"/>
                <w:vertAlign w:val="baseline"/>
                <w:lang w:val="en-US" w:eastAsia="zh-CN"/>
              </w:rPr>
              <w:t>L1</w:t>
            </w:r>
            <w:r>
              <w:rPr>
                <w:rFonts w:hint="default" w:eastAsia="宋体"/>
                <w:b/>
                <w:bCs/>
                <w:color w:val="auto"/>
                <w:sz w:val="20"/>
                <w:szCs w:val="20"/>
                <w:highlight w:val="none"/>
                <w:vertAlign w:val="baseline"/>
                <w:lang w:val="en-US" w:eastAsia="zh-CN"/>
              </w:rPr>
              <w:t>-</w:t>
            </w:r>
            <w:r>
              <w:rPr>
                <w:rFonts w:hint="eastAsia" w:eastAsia="宋体"/>
                <w:b/>
                <w:bCs/>
                <w:color w:val="auto"/>
                <w:sz w:val="20"/>
                <w:szCs w:val="20"/>
                <w:highlight w:val="none"/>
                <w:vertAlign w:val="baseline"/>
                <w:lang w:val="en-US" w:eastAsia="zh-CN"/>
              </w:rPr>
              <w:t>SINR</w:t>
            </w:r>
            <w:r>
              <w:rPr>
                <w:rFonts w:hint="default" w:eastAsia="宋体"/>
                <w:b/>
                <w:bCs/>
                <w:color w:val="auto"/>
                <w:sz w:val="20"/>
                <w:szCs w:val="20"/>
                <w:highlight w:val="none"/>
                <w:vertAlign w:val="baseline"/>
                <w:lang w:val="en-US" w:eastAsia="zh-CN"/>
              </w:rPr>
              <w:t xml:space="preserve"> measurement accuracy is within the specified limits</w:t>
            </w:r>
            <w:r>
              <w:rPr>
                <w:rFonts w:hint="eastAsia" w:eastAsia="宋体"/>
                <w:b/>
                <w:bCs/>
                <w:color w:val="auto"/>
                <w:sz w:val="20"/>
                <w:szCs w:val="20"/>
                <w:highlight w:val="none"/>
                <w:vertAlign w:val="baseline"/>
                <w:lang w:val="en-US" w:eastAsia="zh-CN"/>
              </w:rPr>
              <w:t xml:space="preserve"> under the assumption of phase antenna array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8</w:t>
            </w:r>
          </w:p>
        </w:tc>
        <w:tc>
          <w:tcPr>
            <w:tcW w:w="3064"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 xml:space="preserve">Intra-frequency measurement accuracy for CONNECTED mode under phase antenna array assumption  </w:t>
            </w:r>
          </w:p>
        </w:tc>
        <w:tc>
          <w:tcPr>
            <w:tcW w:w="4877"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T</w:t>
            </w:r>
            <w:r>
              <w:rPr>
                <w:rFonts w:hint="default" w:eastAsia="宋体"/>
                <w:b/>
                <w:bCs/>
                <w:color w:val="auto"/>
                <w:sz w:val="20"/>
                <w:szCs w:val="20"/>
                <w:highlight w:val="none"/>
                <w:vertAlign w:val="baseline"/>
                <w:lang w:val="en-US" w:eastAsia="zh-CN"/>
              </w:rPr>
              <w:t xml:space="preserve">o verify </w:t>
            </w:r>
            <w:r>
              <w:rPr>
                <w:rFonts w:hint="eastAsia" w:eastAsia="宋体"/>
                <w:b/>
                <w:bCs/>
                <w:color w:val="auto"/>
                <w:sz w:val="20"/>
                <w:szCs w:val="20"/>
                <w:highlight w:val="none"/>
                <w:vertAlign w:val="baseline"/>
                <w:lang w:val="en-US" w:eastAsia="zh-CN"/>
              </w:rPr>
              <w:t xml:space="preserve">whether </w:t>
            </w:r>
            <w:r>
              <w:rPr>
                <w:rFonts w:hint="default" w:eastAsia="宋体"/>
                <w:b/>
                <w:bCs/>
                <w:color w:val="auto"/>
                <w:sz w:val="20"/>
                <w:szCs w:val="20"/>
                <w:highlight w:val="none"/>
                <w:vertAlign w:val="baseline"/>
                <w:lang w:val="en-US" w:eastAsia="zh-CN"/>
              </w:rPr>
              <w:t xml:space="preserve">the </w:t>
            </w:r>
            <w:r>
              <w:rPr>
                <w:rFonts w:hint="eastAsia" w:eastAsia="宋体"/>
                <w:b/>
                <w:bCs/>
                <w:color w:val="auto"/>
                <w:sz w:val="20"/>
                <w:szCs w:val="20"/>
                <w:highlight w:val="none"/>
                <w:vertAlign w:val="baseline"/>
                <w:lang w:val="en-US" w:eastAsia="zh-CN"/>
              </w:rPr>
              <w:t>Intra-frequency</w:t>
            </w:r>
            <w:r>
              <w:rPr>
                <w:rFonts w:hint="default" w:eastAsia="宋体"/>
                <w:b/>
                <w:bCs/>
                <w:color w:val="auto"/>
                <w:sz w:val="20"/>
                <w:szCs w:val="20"/>
                <w:highlight w:val="none"/>
                <w:vertAlign w:val="baseline"/>
                <w:lang w:val="en-US" w:eastAsia="zh-CN"/>
              </w:rPr>
              <w:t xml:space="preserve"> measurement accuracy is within the specified limits</w:t>
            </w:r>
            <w:r>
              <w:rPr>
                <w:rFonts w:hint="eastAsia" w:eastAsia="宋体"/>
                <w:b/>
                <w:bCs/>
                <w:color w:val="auto"/>
                <w:sz w:val="20"/>
                <w:szCs w:val="20"/>
                <w:highlight w:val="none"/>
                <w:vertAlign w:val="baseline"/>
                <w:lang w:val="en-US" w:eastAsia="zh-CN"/>
              </w:rPr>
              <w:t xml:space="preserve"> under the assumption of phase antenna array. Both the cases with and without NW assistance on ATC cells reference location provision should be verified.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4"/>
              <w:rPr>
                <w:rFonts w:hint="default"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9</w:t>
            </w:r>
          </w:p>
        </w:tc>
        <w:tc>
          <w:tcPr>
            <w:tcW w:w="3064" w:type="dxa"/>
          </w:tcPr>
          <w:p>
            <w:pPr>
              <w:pStyle w:val="4"/>
              <w:rPr>
                <w:rFonts w:hint="eastAsia"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 xml:space="preserve">Inter-frequency measurement accuracy for CONNECTED mode under phase antenna array assumption  </w:t>
            </w:r>
          </w:p>
        </w:tc>
        <w:tc>
          <w:tcPr>
            <w:tcW w:w="4877" w:type="dxa"/>
          </w:tcPr>
          <w:p>
            <w:pPr>
              <w:pStyle w:val="4"/>
              <w:rPr>
                <w:rFonts w:hint="eastAsia" w:eastAsia="宋体"/>
                <w:b/>
                <w:bCs/>
                <w:color w:val="auto"/>
                <w:sz w:val="20"/>
                <w:szCs w:val="20"/>
                <w:highlight w:val="none"/>
                <w:vertAlign w:val="baseline"/>
                <w:lang w:val="en-US" w:eastAsia="zh-CN"/>
              </w:rPr>
            </w:pPr>
            <w:r>
              <w:rPr>
                <w:rFonts w:hint="eastAsia" w:eastAsia="宋体"/>
                <w:b/>
                <w:bCs/>
                <w:color w:val="auto"/>
                <w:sz w:val="20"/>
                <w:szCs w:val="20"/>
                <w:highlight w:val="none"/>
                <w:vertAlign w:val="baseline"/>
                <w:lang w:val="en-US" w:eastAsia="zh-CN"/>
              </w:rPr>
              <w:t>T</w:t>
            </w:r>
            <w:r>
              <w:rPr>
                <w:rFonts w:hint="default" w:eastAsia="宋体"/>
                <w:b/>
                <w:bCs/>
                <w:color w:val="auto"/>
                <w:sz w:val="20"/>
                <w:szCs w:val="20"/>
                <w:highlight w:val="none"/>
                <w:vertAlign w:val="baseline"/>
                <w:lang w:val="en-US" w:eastAsia="zh-CN"/>
              </w:rPr>
              <w:t xml:space="preserve">o verify </w:t>
            </w:r>
            <w:r>
              <w:rPr>
                <w:rFonts w:hint="eastAsia" w:eastAsia="宋体"/>
                <w:b/>
                <w:bCs/>
                <w:color w:val="auto"/>
                <w:sz w:val="20"/>
                <w:szCs w:val="20"/>
                <w:highlight w:val="none"/>
                <w:vertAlign w:val="baseline"/>
                <w:lang w:val="en-US" w:eastAsia="zh-CN"/>
              </w:rPr>
              <w:t xml:space="preserve">whether </w:t>
            </w:r>
            <w:r>
              <w:rPr>
                <w:rFonts w:hint="default" w:eastAsia="宋体"/>
                <w:b/>
                <w:bCs/>
                <w:color w:val="auto"/>
                <w:sz w:val="20"/>
                <w:szCs w:val="20"/>
                <w:highlight w:val="none"/>
                <w:vertAlign w:val="baseline"/>
                <w:lang w:val="en-US" w:eastAsia="zh-CN"/>
              </w:rPr>
              <w:t xml:space="preserve">the </w:t>
            </w:r>
            <w:r>
              <w:rPr>
                <w:rFonts w:hint="eastAsia" w:eastAsia="宋体"/>
                <w:b/>
                <w:bCs/>
                <w:color w:val="auto"/>
                <w:sz w:val="20"/>
                <w:szCs w:val="20"/>
                <w:highlight w:val="none"/>
                <w:vertAlign w:val="baseline"/>
                <w:lang w:val="en-US" w:eastAsia="zh-CN"/>
              </w:rPr>
              <w:t>Inter-frequency</w:t>
            </w:r>
            <w:r>
              <w:rPr>
                <w:rFonts w:hint="default" w:eastAsia="宋体"/>
                <w:b/>
                <w:bCs/>
                <w:color w:val="auto"/>
                <w:sz w:val="20"/>
                <w:szCs w:val="20"/>
                <w:highlight w:val="none"/>
                <w:vertAlign w:val="baseline"/>
                <w:lang w:val="en-US" w:eastAsia="zh-CN"/>
              </w:rPr>
              <w:t xml:space="preserve"> measurement accuracy is within the specified limits</w:t>
            </w:r>
            <w:r>
              <w:rPr>
                <w:rFonts w:hint="eastAsia" w:eastAsia="宋体"/>
                <w:b/>
                <w:bCs/>
                <w:color w:val="auto"/>
                <w:sz w:val="20"/>
                <w:szCs w:val="20"/>
                <w:highlight w:val="none"/>
                <w:vertAlign w:val="baseline"/>
                <w:lang w:val="en-US" w:eastAsia="zh-CN"/>
              </w:rPr>
              <w:t xml:space="preserve"> under the assumption of phase antenna array. Both the cases with and without NW assistance on ATC cells reference location provision should be verifi</w:t>
            </w:r>
            <w:bookmarkStart w:id="0" w:name="_GoBack"/>
            <w:bookmarkEnd w:id="0"/>
            <w:r>
              <w:rPr>
                <w:rFonts w:hint="eastAsia" w:eastAsia="宋体"/>
                <w:b/>
                <w:bCs/>
                <w:color w:val="auto"/>
                <w:sz w:val="20"/>
                <w:szCs w:val="20"/>
                <w:highlight w:val="none"/>
                <w:vertAlign w:val="baseline"/>
                <w:lang w:val="en-US" w:eastAsia="zh-CN"/>
              </w:rPr>
              <w:t xml:space="preserve">ed. </w:t>
            </w:r>
          </w:p>
        </w:tc>
      </w:tr>
    </w:tbl>
    <w:p>
      <w:pPr>
        <w:pStyle w:val="4"/>
        <w:tabs>
          <w:tab w:val="left" w:pos="226"/>
          <w:tab w:val="left" w:pos="284"/>
          <w:tab w:val="left" w:pos="5103"/>
        </w:tabs>
        <w:snapToGrid w:val="0"/>
        <w:rPr>
          <w:rFonts w:eastAsia="宋体"/>
          <w:bCs/>
          <w:color w:val="auto"/>
          <w:sz w:val="20"/>
          <w:szCs w:val="20"/>
          <w:lang w:val="en-GB" w:eastAsia="zh-CN"/>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8"/>
        </w:numPr>
        <w:ind w:left="0" w:leftChars="0" w:firstLine="0" w:firstLineChars="0"/>
        <w:rPr>
          <w:rFonts w:hint="default"/>
          <w:color w:val="auto"/>
          <w:lang w:val="en-US" w:eastAsia="zh-CN"/>
        </w:rPr>
      </w:pPr>
      <w:r>
        <w:rPr>
          <w:rFonts w:hint="eastAsia"/>
          <w:color w:val="auto"/>
          <w:lang w:val="en-US" w:eastAsia="zh-CN"/>
        </w:rPr>
        <w:t xml:space="preserve">RP-221369 </w:t>
      </w:r>
      <w:r>
        <w:rPr>
          <w:rFonts w:hint="default"/>
          <w:color w:val="auto"/>
          <w:lang w:val="en-US" w:eastAsia="zh-CN"/>
        </w:rPr>
        <w:t>“Revised WID on Air-to-ground network for NR”</w:t>
      </w:r>
      <w:r>
        <w:rPr>
          <w:rFonts w:hint="eastAsia"/>
          <w:color w:val="auto"/>
          <w:lang w:val="en-US" w:eastAsia="zh-CN"/>
        </w:rPr>
        <w:t>, CMCC</w:t>
      </w:r>
    </w:p>
    <w:p>
      <w:pPr>
        <w:pStyle w:val="9"/>
        <w:numPr>
          <w:ilvl w:val="0"/>
          <w:numId w:val="0"/>
        </w:numPr>
        <w:ind w:leftChars="0"/>
        <w:rPr>
          <w:rFonts w:hint="default" w:eastAsia="宋体"/>
          <w:color w:val="auto"/>
          <w:highlight w:val="none"/>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950DCA33"/>
    <w:multiLevelType w:val="singleLevel"/>
    <w:tmpl w:val="950DCA33"/>
    <w:lvl w:ilvl="0" w:tentative="0">
      <w:start w:val="1"/>
      <w:numFmt w:val="bullet"/>
      <w:lvlText w:val=""/>
      <w:lvlJc w:val="left"/>
      <w:pPr>
        <w:tabs>
          <w:tab w:val="left" w:pos="420"/>
        </w:tabs>
        <w:ind w:left="840" w:hanging="420"/>
      </w:pPr>
      <w:rPr>
        <w:rFonts w:hint="default" w:ascii="Wingdings" w:hAnsi="Wingdings"/>
      </w:rPr>
    </w:lvl>
  </w:abstractNum>
  <w:abstractNum w:abstractNumId="2">
    <w:nsid w:val="DB819D77"/>
    <w:multiLevelType w:val="singleLevel"/>
    <w:tmpl w:val="DB819D77"/>
    <w:lvl w:ilvl="0" w:tentative="0">
      <w:start w:val="1"/>
      <w:numFmt w:val="bullet"/>
      <w:lvlText w:val=""/>
      <w:lvlJc w:val="left"/>
      <w:pPr>
        <w:tabs>
          <w:tab w:val="left" w:pos="420"/>
        </w:tabs>
        <w:ind w:left="840" w:hanging="420"/>
      </w:pPr>
      <w:rPr>
        <w:rFonts w:hint="default" w:ascii="Wingdings" w:hAnsi="Wingdings"/>
      </w:rPr>
    </w:lvl>
  </w:abstractNum>
  <w:abstractNum w:abstractNumId="3">
    <w:nsid w:val="F0A5385C"/>
    <w:multiLevelType w:val="multilevel"/>
    <w:tmpl w:val="F0A5385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4">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44592E18"/>
    <w:multiLevelType w:val="singleLevel"/>
    <w:tmpl w:val="44592E18"/>
    <w:lvl w:ilvl="0" w:tentative="0">
      <w:start w:val="1"/>
      <w:numFmt w:val="bullet"/>
      <w:lvlText w:val=""/>
      <w:lvlJc w:val="left"/>
      <w:pPr>
        <w:ind w:left="420" w:hanging="420"/>
      </w:pPr>
      <w:rPr>
        <w:rFonts w:hint="default" w:ascii="Wingdings" w:hAnsi="Wingdings"/>
      </w:rPr>
    </w:lvl>
  </w:abstractNum>
  <w:abstractNum w:abstractNumId="6">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7"/>
  </w:num>
  <w:num w:numId="2">
    <w:abstractNumId w:val="6"/>
  </w:num>
  <w:num w:numId="3">
    <w:abstractNumId w:val="4"/>
  </w:num>
  <w:num w:numId="4">
    <w:abstractNumId w:val="3"/>
  </w:num>
  <w:num w:numId="5">
    <w:abstractNumId w:val="5"/>
  </w:num>
  <w:num w:numId="6">
    <w:abstractNumId w:val="1"/>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4B"/>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793516"/>
    <w:rsid w:val="047A3CFF"/>
    <w:rsid w:val="04E73AD0"/>
    <w:rsid w:val="05000747"/>
    <w:rsid w:val="05317828"/>
    <w:rsid w:val="05477E90"/>
    <w:rsid w:val="05BB5AB9"/>
    <w:rsid w:val="05C42923"/>
    <w:rsid w:val="06226EA6"/>
    <w:rsid w:val="065C04B2"/>
    <w:rsid w:val="06963BA6"/>
    <w:rsid w:val="07CB1C61"/>
    <w:rsid w:val="07CD3CDD"/>
    <w:rsid w:val="07F64CE8"/>
    <w:rsid w:val="083E6EA0"/>
    <w:rsid w:val="084E5514"/>
    <w:rsid w:val="0855671D"/>
    <w:rsid w:val="089009EB"/>
    <w:rsid w:val="08EA2407"/>
    <w:rsid w:val="09716BCA"/>
    <w:rsid w:val="09C27532"/>
    <w:rsid w:val="09D64B23"/>
    <w:rsid w:val="09E644B8"/>
    <w:rsid w:val="0A867423"/>
    <w:rsid w:val="0AB155C2"/>
    <w:rsid w:val="0B12013A"/>
    <w:rsid w:val="0B3D3C2F"/>
    <w:rsid w:val="0BB0429A"/>
    <w:rsid w:val="0BDD6CEC"/>
    <w:rsid w:val="0BFF5FC6"/>
    <w:rsid w:val="0C394019"/>
    <w:rsid w:val="0CD05342"/>
    <w:rsid w:val="0CDB4E5B"/>
    <w:rsid w:val="0CF2414E"/>
    <w:rsid w:val="0D244E26"/>
    <w:rsid w:val="0DEE745F"/>
    <w:rsid w:val="0DFD7458"/>
    <w:rsid w:val="0E104B55"/>
    <w:rsid w:val="0F0A6D3C"/>
    <w:rsid w:val="0FAD3D1E"/>
    <w:rsid w:val="102263EF"/>
    <w:rsid w:val="10293D80"/>
    <w:rsid w:val="10997F43"/>
    <w:rsid w:val="10DE7BAE"/>
    <w:rsid w:val="120774A3"/>
    <w:rsid w:val="12577549"/>
    <w:rsid w:val="12887761"/>
    <w:rsid w:val="14006D19"/>
    <w:rsid w:val="1481754F"/>
    <w:rsid w:val="148F32AB"/>
    <w:rsid w:val="148F5721"/>
    <w:rsid w:val="14AC57CD"/>
    <w:rsid w:val="15ED3E9B"/>
    <w:rsid w:val="164514BE"/>
    <w:rsid w:val="166B2EA9"/>
    <w:rsid w:val="16E73296"/>
    <w:rsid w:val="170F06AA"/>
    <w:rsid w:val="17225508"/>
    <w:rsid w:val="17603D5C"/>
    <w:rsid w:val="17B07FBC"/>
    <w:rsid w:val="180A6E32"/>
    <w:rsid w:val="183F2CD2"/>
    <w:rsid w:val="1856323E"/>
    <w:rsid w:val="18AF55E3"/>
    <w:rsid w:val="18B077E2"/>
    <w:rsid w:val="18B1519A"/>
    <w:rsid w:val="18CD0507"/>
    <w:rsid w:val="18F36BA5"/>
    <w:rsid w:val="193B6DE3"/>
    <w:rsid w:val="195D7D48"/>
    <w:rsid w:val="1AD01A1B"/>
    <w:rsid w:val="1B61065A"/>
    <w:rsid w:val="1B8505B7"/>
    <w:rsid w:val="1BBF3927"/>
    <w:rsid w:val="1C177B08"/>
    <w:rsid w:val="1C9001C6"/>
    <w:rsid w:val="1CBA2101"/>
    <w:rsid w:val="1D0573D7"/>
    <w:rsid w:val="1D153DC4"/>
    <w:rsid w:val="1D223E0B"/>
    <w:rsid w:val="1D317C9F"/>
    <w:rsid w:val="1D6B1DA5"/>
    <w:rsid w:val="1E132F88"/>
    <w:rsid w:val="1E2867E9"/>
    <w:rsid w:val="1E853F6F"/>
    <w:rsid w:val="1E9C7BCC"/>
    <w:rsid w:val="1ECC1E3C"/>
    <w:rsid w:val="1EEE24B1"/>
    <w:rsid w:val="203504C5"/>
    <w:rsid w:val="2067621D"/>
    <w:rsid w:val="208364FC"/>
    <w:rsid w:val="208953F9"/>
    <w:rsid w:val="21014C39"/>
    <w:rsid w:val="21244EB1"/>
    <w:rsid w:val="213964D8"/>
    <w:rsid w:val="21595D04"/>
    <w:rsid w:val="21F13629"/>
    <w:rsid w:val="223236B6"/>
    <w:rsid w:val="2255462C"/>
    <w:rsid w:val="22CD49DC"/>
    <w:rsid w:val="22E5139E"/>
    <w:rsid w:val="2305377E"/>
    <w:rsid w:val="237674B3"/>
    <w:rsid w:val="238230CD"/>
    <w:rsid w:val="23901822"/>
    <w:rsid w:val="24122135"/>
    <w:rsid w:val="244E322A"/>
    <w:rsid w:val="24D4257E"/>
    <w:rsid w:val="2572202B"/>
    <w:rsid w:val="2605683C"/>
    <w:rsid w:val="26731922"/>
    <w:rsid w:val="26BB1419"/>
    <w:rsid w:val="27A2088A"/>
    <w:rsid w:val="27B748AA"/>
    <w:rsid w:val="27CB4CB9"/>
    <w:rsid w:val="281C2F58"/>
    <w:rsid w:val="28DF773E"/>
    <w:rsid w:val="2901513D"/>
    <w:rsid w:val="29642C4B"/>
    <w:rsid w:val="29C21DCA"/>
    <w:rsid w:val="2A34628C"/>
    <w:rsid w:val="2A724D05"/>
    <w:rsid w:val="2A7E505C"/>
    <w:rsid w:val="2AC85686"/>
    <w:rsid w:val="2AD04B5F"/>
    <w:rsid w:val="2B136BA2"/>
    <w:rsid w:val="2BC05B2C"/>
    <w:rsid w:val="2BD617C5"/>
    <w:rsid w:val="2C112837"/>
    <w:rsid w:val="2C9B1252"/>
    <w:rsid w:val="2C9C2786"/>
    <w:rsid w:val="2CC13667"/>
    <w:rsid w:val="2D977CDA"/>
    <w:rsid w:val="2E014790"/>
    <w:rsid w:val="2E3F30C4"/>
    <w:rsid w:val="2EE77680"/>
    <w:rsid w:val="2F2F0FC8"/>
    <w:rsid w:val="2FA70460"/>
    <w:rsid w:val="2FDE0AA7"/>
    <w:rsid w:val="30057FE3"/>
    <w:rsid w:val="301C6BB6"/>
    <w:rsid w:val="311A1818"/>
    <w:rsid w:val="31876C6F"/>
    <w:rsid w:val="319708F2"/>
    <w:rsid w:val="31A8260E"/>
    <w:rsid w:val="31B14C9E"/>
    <w:rsid w:val="332B149D"/>
    <w:rsid w:val="33C522D7"/>
    <w:rsid w:val="344C156B"/>
    <w:rsid w:val="34807672"/>
    <w:rsid w:val="35B06C6A"/>
    <w:rsid w:val="366149EB"/>
    <w:rsid w:val="36941AA2"/>
    <w:rsid w:val="36D37423"/>
    <w:rsid w:val="37316B6C"/>
    <w:rsid w:val="379D23F9"/>
    <w:rsid w:val="3A185287"/>
    <w:rsid w:val="3A1F46B8"/>
    <w:rsid w:val="3A281202"/>
    <w:rsid w:val="3A692CD0"/>
    <w:rsid w:val="3AAE4AA7"/>
    <w:rsid w:val="3AF23299"/>
    <w:rsid w:val="3B1156F3"/>
    <w:rsid w:val="3B270929"/>
    <w:rsid w:val="3B3D5571"/>
    <w:rsid w:val="3B673620"/>
    <w:rsid w:val="3B9A1F29"/>
    <w:rsid w:val="3BFF3047"/>
    <w:rsid w:val="3C8D7627"/>
    <w:rsid w:val="3CE4646B"/>
    <w:rsid w:val="3CFC1228"/>
    <w:rsid w:val="3D5E7AA8"/>
    <w:rsid w:val="3D6F2596"/>
    <w:rsid w:val="3D946587"/>
    <w:rsid w:val="3DE672C9"/>
    <w:rsid w:val="3DF2306A"/>
    <w:rsid w:val="3FEC6FC4"/>
    <w:rsid w:val="4042383D"/>
    <w:rsid w:val="405F175E"/>
    <w:rsid w:val="40C765F3"/>
    <w:rsid w:val="426217F9"/>
    <w:rsid w:val="42AF3D95"/>
    <w:rsid w:val="42C9357F"/>
    <w:rsid w:val="42F869D2"/>
    <w:rsid w:val="43186073"/>
    <w:rsid w:val="43553536"/>
    <w:rsid w:val="44972678"/>
    <w:rsid w:val="451632B9"/>
    <w:rsid w:val="45906394"/>
    <w:rsid w:val="45C245CB"/>
    <w:rsid w:val="45F60A50"/>
    <w:rsid w:val="46142D0C"/>
    <w:rsid w:val="46263A53"/>
    <w:rsid w:val="46970A81"/>
    <w:rsid w:val="46A86BFA"/>
    <w:rsid w:val="46B036BF"/>
    <w:rsid w:val="46CC320F"/>
    <w:rsid w:val="47282363"/>
    <w:rsid w:val="47810C98"/>
    <w:rsid w:val="47924F0A"/>
    <w:rsid w:val="48EE54ED"/>
    <w:rsid w:val="48F407FD"/>
    <w:rsid w:val="494D0152"/>
    <w:rsid w:val="49DC4EAC"/>
    <w:rsid w:val="49E55BC5"/>
    <w:rsid w:val="4A5D0BB5"/>
    <w:rsid w:val="4A784B9A"/>
    <w:rsid w:val="4ADC0DE1"/>
    <w:rsid w:val="4B600E77"/>
    <w:rsid w:val="4B8B4475"/>
    <w:rsid w:val="4B8F684D"/>
    <w:rsid w:val="4BF02011"/>
    <w:rsid w:val="4C1C63D6"/>
    <w:rsid w:val="4C2D52ED"/>
    <w:rsid w:val="4C475FD9"/>
    <w:rsid w:val="4C4F7C59"/>
    <w:rsid w:val="4C864A35"/>
    <w:rsid w:val="4D207A05"/>
    <w:rsid w:val="4D53283E"/>
    <w:rsid w:val="4D6F4DFF"/>
    <w:rsid w:val="4E015C76"/>
    <w:rsid w:val="4E310026"/>
    <w:rsid w:val="4E4A2325"/>
    <w:rsid w:val="4F107345"/>
    <w:rsid w:val="4FC7362A"/>
    <w:rsid w:val="501A6C55"/>
    <w:rsid w:val="515B1740"/>
    <w:rsid w:val="51B14BED"/>
    <w:rsid w:val="52526454"/>
    <w:rsid w:val="525C1CEF"/>
    <w:rsid w:val="528B5767"/>
    <w:rsid w:val="52D33625"/>
    <w:rsid w:val="53A3105E"/>
    <w:rsid w:val="53C64B93"/>
    <w:rsid w:val="548A6C60"/>
    <w:rsid w:val="54DE7749"/>
    <w:rsid w:val="55B1164D"/>
    <w:rsid w:val="55B4735E"/>
    <w:rsid w:val="55BB221D"/>
    <w:rsid w:val="56371459"/>
    <w:rsid w:val="56484633"/>
    <w:rsid w:val="574036F5"/>
    <w:rsid w:val="57FF4799"/>
    <w:rsid w:val="58D0053D"/>
    <w:rsid w:val="595A2A3C"/>
    <w:rsid w:val="598C40A0"/>
    <w:rsid w:val="59B95448"/>
    <w:rsid w:val="59DA647E"/>
    <w:rsid w:val="5A556E1A"/>
    <w:rsid w:val="5BA33C64"/>
    <w:rsid w:val="5BF92FF2"/>
    <w:rsid w:val="5C0C7CD1"/>
    <w:rsid w:val="5C924E81"/>
    <w:rsid w:val="5D724260"/>
    <w:rsid w:val="5E015742"/>
    <w:rsid w:val="5E2864D0"/>
    <w:rsid w:val="5E494511"/>
    <w:rsid w:val="5EB44FC0"/>
    <w:rsid w:val="5FBA395F"/>
    <w:rsid w:val="60094E5C"/>
    <w:rsid w:val="606F38F4"/>
    <w:rsid w:val="60EC2CBA"/>
    <w:rsid w:val="61751E71"/>
    <w:rsid w:val="61CC2D28"/>
    <w:rsid w:val="623E10C1"/>
    <w:rsid w:val="62B35208"/>
    <w:rsid w:val="635902CD"/>
    <w:rsid w:val="63C03536"/>
    <w:rsid w:val="63E95C2E"/>
    <w:rsid w:val="64282DCC"/>
    <w:rsid w:val="64706BBE"/>
    <w:rsid w:val="64F2095B"/>
    <w:rsid w:val="652470FF"/>
    <w:rsid w:val="65A16A49"/>
    <w:rsid w:val="67A858DB"/>
    <w:rsid w:val="67FE4166"/>
    <w:rsid w:val="68C401C3"/>
    <w:rsid w:val="695848C3"/>
    <w:rsid w:val="69A833BD"/>
    <w:rsid w:val="69AF6305"/>
    <w:rsid w:val="69EF6835"/>
    <w:rsid w:val="6D566F0F"/>
    <w:rsid w:val="6D836F72"/>
    <w:rsid w:val="6D8D1B93"/>
    <w:rsid w:val="6DDE3DAF"/>
    <w:rsid w:val="6DE76B3B"/>
    <w:rsid w:val="6E3241BE"/>
    <w:rsid w:val="6EB97A9D"/>
    <w:rsid w:val="6EF10A90"/>
    <w:rsid w:val="6EFC7DED"/>
    <w:rsid w:val="6F2309BE"/>
    <w:rsid w:val="6F2A7FBF"/>
    <w:rsid w:val="6FAE5A48"/>
    <w:rsid w:val="6FFF1868"/>
    <w:rsid w:val="707E77A2"/>
    <w:rsid w:val="713872F5"/>
    <w:rsid w:val="715F4C2D"/>
    <w:rsid w:val="71DD657B"/>
    <w:rsid w:val="722F78FB"/>
    <w:rsid w:val="723C2F8E"/>
    <w:rsid w:val="723D67C5"/>
    <w:rsid w:val="726A5F44"/>
    <w:rsid w:val="72BF60CA"/>
    <w:rsid w:val="72F41282"/>
    <w:rsid w:val="73020973"/>
    <w:rsid w:val="733D0D32"/>
    <w:rsid w:val="73B76769"/>
    <w:rsid w:val="73D411F1"/>
    <w:rsid w:val="744C446A"/>
    <w:rsid w:val="74A356B2"/>
    <w:rsid w:val="753811DE"/>
    <w:rsid w:val="75BE67D4"/>
    <w:rsid w:val="75C2004C"/>
    <w:rsid w:val="75C759C1"/>
    <w:rsid w:val="76281B03"/>
    <w:rsid w:val="762D64F3"/>
    <w:rsid w:val="762E20AD"/>
    <w:rsid w:val="767E7EFF"/>
    <w:rsid w:val="76B05EE3"/>
    <w:rsid w:val="775B4604"/>
    <w:rsid w:val="77C067C3"/>
    <w:rsid w:val="77CF305F"/>
    <w:rsid w:val="78074939"/>
    <w:rsid w:val="785A7CE0"/>
    <w:rsid w:val="78911E31"/>
    <w:rsid w:val="78F9732D"/>
    <w:rsid w:val="7922350F"/>
    <w:rsid w:val="792B5470"/>
    <w:rsid w:val="7A2F5236"/>
    <w:rsid w:val="7A9367CB"/>
    <w:rsid w:val="7AEF5C78"/>
    <w:rsid w:val="7AF22571"/>
    <w:rsid w:val="7B0720CF"/>
    <w:rsid w:val="7B4C0E47"/>
    <w:rsid w:val="7B69224B"/>
    <w:rsid w:val="7BE80F25"/>
    <w:rsid w:val="7C1C35A7"/>
    <w:rsid w:val="7C45431D"/>
    <w:rsid w:val="7D1566AD"/>
    <w:rsid w:val="7D25352B"/>
    <w:rsid w:val="7D3219D5"/>
    <w:rsid w:val="7DDD0501"/>
    <w:rsid w:val="7DE51372"/>
    <w:rsid w:val="7E3D0B49"/>
    <w:rsid w:val="7E5E590F"/>
    <w:rsid w:val="7E935AFB"/>
    <w:rsid w:val="7F226D81"/>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3</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2023-09-27T14:02:46Z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37E5B2F501C7414CA35566C79889349E</vt:lpwstr>
  </property>
</Properties>
</file>